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720"/>
      </w:pPr>
      <w:r>
        <w:rPr>
          <w:b/>
          <w:color w:val="0B7A75"/>
          <w:sz w:val="17"/>
        </w:rPr>
        <w:t>БАЗОВЫЙ ПРОЕКТ KLT‑RBD  ·  ПРИКЛАДНОЙ КОНТУР ХИМИИ И МАТЕРИАЛОВЕДЕНИЯ</w:t>
      </w:r>
    </w:p>
    <w:p>
      <w:pPr>
        <w:pStyle w:val="Title"/>
        <w:jc w:val="left"/>
      </w:pPr>
      <w:r>
        <w:t>KLT‑MATDES</w:t>
      </w:r>
    </w:p>
    <w:p>
      <w:pPr>
        <w:pStyle w:val="Subtitle"/>
        <w:jc w:val="left"/>
      </w:pPr>
      <w:r>
        <w:t>Проективно‑реперная система обратного проектирования неорганических функциональных материалов</w:t>
      </w:r>
    </w:p>
    <w:p>
      <w:pPr>
        <w:spacing w:before="100" w:after="440"/>
      </w:pPr>
      <w:r>
        <w:rPr>
          <w:color w:val="C28B2C"/>
          <w:sz w:val="16"/>
        </w:rPr>
        <w:t>━━━━━━━━━━━━━━━━━━━━━━━━━━━━</w:t>
      </w:r>
    </w:p>
    <w:p>
      <w:pPr>
        <w:spacing w:after="100"/>
      </w:pPr>
      <w:r>
        <w:rPr>
          <w:b/>
          <w:color w:val="18324B"/>
          <w:sz w:val="22"/>
        </w:rPr>
        <w:t>Проектно‑техническая спецификация · версия 1.1</w:t>
      </w:r>
    </w:p>
    <w:p>
      <w:pPr>
        <w:spacing w:after="1040"/>
      </w:pPr>
      <w:r>
        <w:rPr>
          <w:color w:val="667684"/>
          <w:sz w:val="19"/>
        </w:rPr>
        <w:t>Документ для научного обсуждения, разработки прототипа и подготовки публикационного пакета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2381"/>
            <w:shd w:fill="18324B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b/>
                <w:color w:val="FFFFFF"/>
                <w:sz w:val="16"/>
              </w:rPr>
              <w:t>Автор и руководитель проекта</w:t>
            </w:r>
          </w:p>
        </w:tc>
        <w:tc>
          <w:tcPr>
            <w:tcW w:type="dxa" w:w="6803"/>
            <w:shd w:fill="F4F7F8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sz w:val="16"/>
              </w:rPr>
              <w:t>Курпишев Иван Борисович</w:t>
            </w:r>
          </w:p>
        </w:tc>
      </w:tr>
      <w:tr>
        <w:tc>
          <w:tcPr>
            <w:tcW w:type="dxa" w:w="2381"/>
            <w:shd w:fill="18324B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b/>
                <w:color w:val="FFFFFF"/>
                <w:sz w:val="16"/>
              </w:rPr>
              <w:t>Статус</w:t>
            </w:r>
          </w:p>
        </w:tc>
        <w:tc>
          <w:tcPr>
            <w:tcW w:type="dxa" w:w="6803"/>
            <w:shd w:fill="F4F7F8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sz w:val="16"/>
              </w:rPr>
              <w:t>Архитектурная и алгоритмическая спецификация; научная валидация — по отдельному протоколу</w:t>
            </w:r>
          </w:p>
        </w:tc>
      </w:tr>
      <w:tr>
        <w:tc>
          <w:tcPr>
            <w:tcW w:type="dxa" w:w="2381"/>
            <w:shd w:fill="18324B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b/>
                <w:color w:val="FFFFFF"/>
                <w:sz w:val="16"/>
              </w:rPr>
              <w:t>Предметная область</w:t>
            </w:r>
          </w:p>
        </w:tc>
        <w:tc>
          <w:tcPr>
            <w:tcW w:type="dxa" w:w="6803"/>
            <w:shd w:fill="F4F7F8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sz w:val="16"/>
              </w:rPr>
              <w:t>Неорганические функциональные материалы</w:t>
            </w:r>
          </w:p>
        </w:tc>
      </w:tr>
      <w:tr>
        <w:tc>
          <w:tcPr>
            <w:tcW w:type="dxa" w:w="2381"/>
            <w:shd w:fill="18324B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b/>
                <w:color w:val="FFFFFF"/>
                <w:sz w:val="16"/>
              </w:rPr>
              <w:t>Контур реализации</w:t>
            </w:r>
          </w:p>
        </w:tc>
        <w:tc>
          <w:tcPr>
            <w:tcW w:type="dxa" w:w="6803"/>
            <w:shd w:fill="F4F7F8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sz w:val="16"/>
              </w:rPr>
              <w:t>Python/SQLite‑прототип → сетевой сервис → автономное приложение</w:t>
            </w:r>
          </w:p>
        </w:tc>
      </w:tr>
    </w:tbl>
    <w:p>
      <w:pPr>
        <w:spacing w:before="760"/>
        <w:jc w:val="left"/>
      </w:pPr>
      <w:r>
        <w:rPr>
          <w:color w:val="667684"/>
          <w:sz w:val="18"/>
        </w:rPr>
        <w:t>Калининград · 29 августа 2026 года</w:t>
      </w:r>
    </w:p>
    <w:p>
      <w:r>
        <w:br w:type="page"/>
      </w:r>
    </w:p>
    <w:p>
      <w:pPr>
        <w:pStyle w:val="Heading1"/>
      </w:pPr>
      <w:r>
        <w:t>Содержание</w:t>
      </w:r>
    </w:p>
    <w:p>
      <w:r>
        <w:t>Структура документа рассчитана на прямую редактуру и экспорт в PDF. Нумерация научных рисунков и приложений является стабильной.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3"/>
        <w:gridCol w:w="5043"/>
      </w:tblGrid>
      <w:tr>
        <w:trPr>
          <w:tblHeader w:val="true"/>
        </w:trPr>
        <w:tc>
          <w:tcPr>
            <w:tcW w:type="dxa" w:w="737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№</w:t>
            </w:r>
          </w:p>
        </w:tc>
        <w:tc>
          <w:tcPr>
            <w:tcW w:type="dxa" w:w="8617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Раздел</w:t>
            </w:r>
          </w:p>
        </w:tc>
      </w:tr>
      <w:tr>
        <w:tc>
          <w:tcPr>
            <w:tcW w:type="dxa" w:w="73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1</w:t>
            </w:r>
          </w:p>
        </w:tc>
        <w:tc>
          <w:tcPr>
            <w:tcW w:type="dxa" w:w="861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Резюме проекта</w:t>
            </w:r>
          </w:p>
        </w:tc>
      </w:tr>
      <w:tr>
        <w:tc>
          <w:tcPr>
            <w:tcW w:type="dxa" w:w="73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2</w:t>
            </w:r>
          </w:p>
        </w:tc>
        <w:tc>
          <w:tcPr>
            <w:tcW w:type="dxa" w:w="861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Назначение, границы и критерий законченности</w:t>
            </w:r>
          </w:p>
        </w:tc>
      </w:tr>
      <w:tr>
        <w:tc>
          <w:tcPr>
            <w:tcW w:type="dxa" w:w="73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3</w:t>
            </w:r>
          </w:p>
        </w:tc>
        <w:tc>
          <w:tcPr>
            <w:tcW w:type="dxa" w:w="861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Научно‑методический контур</w:t>
            </w:r>
          </w:p>
        </w:tc>
      </w:tr>
      <w:tr>
        <w:tc>
          <w:tcPr>
            <w:tcW w:type="dxa" w:w="73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4</w:t>
            </w:r>
          </w:p>
        </w:tc>
        <w:tc>
          <w:tcPr>
            <w:tcW w:type="dxa" w:w="861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Концептуальная архитектура</w:t>
            </w:r>
          </w:p>
        </w:tc>
      </w:tr>
      <w:tr>
        <w:tc>
          <w:tcPr>
            <w:tcW w:type="dxa" w:w="73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5</w:t>
            </w:r>
          </w:p>
        </w:tc>
        <w:tc>
          <w:tcPr>
            <w:tcW w:type="dxa" w:w="861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Информационная модель KLT‑RBD/ChemGraph</w:t>
            </w:r>
          </w:p>
        </w:tc>
      </w:tr>
      <w:tr>
        <w:tc>
          <w:tcPr>
            <w:tcW w:type="dxa" w:w="73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6</w:t>
            </w:r>
          </w:p>
        </w:tc>
        <w:tc>
          <w:tcPr>
            <w:tcW w:type="dxa" w:w="861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Алгоритмический конвейер</w:t>
            </w:r>
          </w:p>
        </w:tc>
      </w:tr>
      <w:tr>
        <w:tc>
          <w:tcPr>
            <w:tcW w:type="dxa" w:w="73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7</w:t>
            </w:r>
          </w:p>
        </w:tc>
        <w:tc>
          <w:tcPr>
            <w:tcW w:type="dxa" w:w="861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Обратное проектирование и ранжирование кандидатов</w:t>
            </w:r>
          </w:p>
        </w:tc>
      </w:tr>
      <w:tr>
        <w:tc>
          <w:tcPr>
            <w:tcW w:type="dxa" w:w="73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8</w:t>
            </w:r>
          </w:p>
        </w:tc>
        <w:tc>
          <w:tcPr>
            <w:tcW w:type="dxa" w:w="861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Планирование путей получения</w:t>
            </w:r>
          </w:p>
        </w:tc>
      </w:tr>
      <w:tr>
        <w:tc>
          <w:tcPr>
            <w:tcW w:type="dxa" w:w="73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9</w:t>
            </w:r>
          </w:p>
        </w:tc>
        <w:tc>
          <w:tcPr>
            <w:tcW w:type="dxa" w:w="861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Доказательный контур, неопределённость и ABSTAIN</w:t>
            </w:r>
          </w:p>
        </w:tc>
      </w:tr>
      <w:tr>
        <w:tc>
          <w:tcPr>
            <w:tcW w:type="dxa" w:w="73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10</w:t>
            </w:r>
          </w:p>
        </w:tc>
        <w:tc>
          <w:tcPr>
            <w:tcW w:type="dxa" w:w="861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Программная архитектура и режимы эксплуатации</w:t>
            </w:r>
          </w:p>
        </w:tc>
      </w:tr>
      <w:tr>
        <w:tc>
          <w:tcPr>
            <w:tcW w:type="dxa" w:w="73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11</w:t>
            </w:r>
          </w:p>
        </w:tc>
        <w:tc>
          <w:tcPr>
            <w:tcW w:type="dxa" w:w="861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Пользовательские сценарии и возможности</w:t>
            </w:r>
          </w:p>
        </w:tc>
      </w:tr>
      <w:tr>
        <w:tc>
          <w:tcPr>
            <w:tcW w:type="dxa" w:w="73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12</w:t>
            </w:r>
          </w:p>
        </w:tc>
        <w:tc>
          <w:tcPr>
            <w:tcW w:type="dxa" w:w="861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Воспроизводимость, безопасность и управление данными</w:t>
            </w:r>
          </w:p>
        </w:tc>
      </w:tr>
      <w:tr>
        <w:tc>
          <w:tcPr>
            <w:tcW w:type="dxa" w:w="73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13</w:t>
            </w:r>
          </w:p>
        </w:tc>
        <w:tc>
          <w:tcPr>
            <w:tcW w:type="dxa" w:w="861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Дорожная карта разработки и научной проверки</w:t>
            </w:r>
          </w:p>
        </w:tc>
      </w:tr>
      <w:tr>
        <w:tc>
          <w:tcPr>
            <w:tcW w:type="dxa" w:w="73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14</w:t>
            </w:r>
          </w:p>
        </w:tc>
        <w:tc>
          <w:tcPr>
            <w:tcW w:type="dxa" w:w="861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Риски, метрики и критерии перехода</w:t>
            </w:r>
          </w:p>
        </w:tc>
      </w:tr>
      <w:tr>
        <w:tc>
          <w:tcPr>
            <w:tcW w:type="dxa" w:w="73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15</w:t>
            </w:r>
          </w:p>
        </w:tc>
        <w:tc>
          <w:tcPr>
            <w:tcW w:type="dxa" w:w="861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Заключение</w:t>
            </w:r>
          </w:p>
        </w:tc>
      </w:tr>
      <w:tr>
        <w:tc>
          <w:tcPr>
            <w:tcW w:type="dxa" w:w="73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A</w:t>
            </w:r>
          </w:p>
        </w:tc>
        <w:tc>
          <w:tcPr>
            <w:tcW w:type="dxa" w:w="861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Приложение A. Термины, обозначения и статусы</w:t>
            </w:r>
          </w:p>
        </w:tc>
      </w:tr>
      <w:tr>
        <w:tc>
          <w:tcPr>
            <w:tcW w:type="dxa" w:w="73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B</w:t>
            </w:r>
          </w:p>
        </w:tc>
        <w:tc>
          <w:tcPr>
            <w:tcW w:type="dxa" w:w="861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Приложение B. Контракты входа и результата</w:t>
            </w:r>
          </w:p>
        </w:tc>
      </w:tr>
      <w:tr>
        <w:tc>
          <w:tcPr>
            <w:tcW w:type="dxa" w:w="73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C</w:t>
            </w:r>
          </w:p>
        </w:tc>
        <w:tc>
          <w:tcPr>
            <w:tcW w:type="dxa" w:w="861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Приложение C. Псевдокод ядра</w:t>
            </w:r>
          </w:p>
        </w:tc>
      </w:tr>
      <w:tr>
        <w:tc>
          <w:tcPr>
            <w:tcW w:type="dxa" w:w="73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D</w:t>
            </w:r>
          </w:p>
        </w:tc>
        <w:tc>
          <w:tcPr>
            <w:tcW w:type="dxa" w:w="861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Приложение D. Минимальная схема базы данных</w:t>
            </w:r>
          </w:p>
        </w:tc>
      </w:tr>
      <w:tr>
        <w:tc>
          <w:tcPr>
            <w:tcW w:type="dxa" w:w="73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E</w:t>
            </w:r>
          </w:p>
        </w:tc>
        <w:tc>
          <w:tcPr>
            <w:tcW w:type="dxa" w:w="861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Приложение E. Контур API</w:t>
            </w:r>
          </w:p>
        </w:tc>
      </w:tr>
      <w:tr>
        <w:tc>
          <w:tcPr>
            <w:tcW w:type="dxa" w:w="73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F</w:t>
            </w:r>
          </w:p>
        </w:tc>
        <w:tc>
          <w:tcPr>
            <w:tcW w:type="dxa" w:w="861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Приложение F. Матрица испытаний</w:t>
            </w:r>
          </w:p>
        </w:tc>
      </w:tr>
      <w:tr>
        <w:tc>
          <w:tcPr>
            <w:tcW w:type="dxa" w:w="73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G</w:t>
            </w:r>
          </w:p>
        </w:tc>
        <w:tc>
          <w:tcPr>
            <w:tcW w:type="dxa" w:w="861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6"/>
              </w:rPr>
              <w:t>Приложение G. Реестр научных иллюстраций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"/>
        <w:gridCol w:w="9241"/>
      </w:tblGrid>
      <w:tr>
        <w:tc>
          <w:tcPr>
            <w:tcW w:type="dxa" w:w="142"/>
            <w:shd w:fill="0B7A75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9241"/>
            <w:shd w:fill="F4F7F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b/>
                <w:color w:val="0B7A75"/>
                <w:sz w:val="17"/>
              </w:rPr>
              <w:t>ПРИМЕЧАНИЕ К ОГЛАВЛЕНИЮ</w:t>
            </w:r>
          </w:p>
          <w:p>
            <w:pPr>
              <w:spacing w:after="40" w:line="245" w:lineRule="auto"/>
            </w:pPr>
            <w:r>
              <w:t>В DOCX заголовки имеют уровни Heading 1–3, поэтому при дальнейшей редактуре можно вставить автоматическое оглавление Word с номерами страниц. Контрольная PDF‑версия уже содержит динамическое оглавление.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1. Резюме проекта</w:t>
      </w:r>
    </w:p>
    <w:p>
      <w:r>
        <w:t>KLT‑MATDES — проект вычислительной системы обратного проектирования неорганических функциональных материалов по постановке «требуемые свойства → допустимый состав и структура → проверяемый путь получения → доказательный паспорт результата». Система объединяет классические методы химической информатики и материаловедения с авторским проективно‑реперным представлением KLT‑RBD. Её назначение — не заменить эксперимент, а управляемо сузить пространство поиска, показать основания каждого вычислительного шага и своевременно отказаться от вывода при недостатке данных.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"/>
        <w:gridCol w:w="9241"/>
      </w:tblGrid>
      <w:tr>
        <w:tc>
          <w:tcPr>
            <w:tcW w:type="dxa" w:w="142"/>
            <w:shd w:fill="0B7A75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9241"/>
            <w:shd w:fill="F4F7F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b/>
                <w:color w:val="0B7A75"/>
                <w:sz w:val="17"/>
              </w:rPr>
              <w:t>ГЛАВНЫЙ ПРОДУКТ</w:t>
            </w:r>
          </w:p>
          <w:p>
            <w:pPr>
              <w:spacing w:after="40" w:line="245" w:lineRule="auto"/>
            </w:pPr>
            <w:r>
              <w:t>Воспроизводимый пакет кандидатов: спецификация цели, нормализованные источники, граф реперов, прогнозы свойств с неопределённостью, ограничения применимости, варианты синтеза, причины ранжирования и машиночитаемый сертификат запуска.</w:t>
            </w:r>
          </w:p>
        </w:tc>
      </w:tr>
    </w:tbl>
    <w:p>
      <w:pPr>
        <w:spacing w:after="0"/>
      </w:pPr>
    </w:p>
    <w:p>
      <w:r>
        <w:t>Первый предметный контур — неорганические функциональные материалы. Он выбран как достаточно структурированный для формализации составов, фаз, кристаллических структур, режимов обработки и измеряемых свойств, но одновременно достаточно сложный, чтобы проверить полезность реперной модели на реальных задачах многокритериального поиска.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rPr>
          <w:tblHeader w:val="true"/>
        </w:trPr>
        <w:tc>
          <w:tcPr>
            <w:tcW w:type="dxa" w:w="1757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Компонент</w:t>
            </w:r>
          </w:p>
        </w:tc>
        <w:tc>
          <w:tcPr>
            <w:tcW w:type="dxa" w:w="4025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Результат версии 1.1</w:t>
            </w:r>
          </w:p>
        </w:tc>
        <w:tc>
          <w:tcPr>
            <w:tcW w:type="dxa" w:w="3572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Граница утверждения</w:t>
            </w:r>
          </w:p>
        </w:tc>
      </w:tr>
      <w:tr>
        <w:tc>
          <w:tcPr>
            <w:tcW w:type="dxa" w:w="175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Формализм</w:t>
            </w:r>
          </w:p>
        </w:tc>
        <w:tc>
          <w:tcPr>
            <w:tcW w:type="dxa" w:w="402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Единая модель цели, кандидата, доказательства и отказа</w:t>
            </w:r>
          </w:p>
        </w:tc>
        <w:tc>
          <w:tcPr>
            <w:tcW w:type="dxa" w:w="3572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Спецификация; не экспериментальный результат</w:t>
            </w:r>
          </w:p>
        </w:tc>
      </w:tr>
      <w:tr>
        <w:tc>
          <w:tcPr>
            <w:tcW w:type="dxa" w:w="175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Данные</w:t>
            </w:r>
          </w:p>
        </w:tc>
        <w:tc>
          <w:tcPr>
            <w:tcW w:type="dxa" w:w="402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Схема SQLite и контур импорта открытых авторитетных источников</w:t>
            </w:r>
          </w:p>
        </w:tc>
        <w:tc>
          <w:tcPr>
            <w:tcW w:type="dxa" w:w="3572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Конкретные корпуса фиксируются манифестами</w:t>
            </w:r>
          </w:p>
        </w:tc>
      </w:tr>
      <w:tr>
        <w:tc>
          <w:tcPr>
            <w:tcW w:type="dxa" w:w="175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Алгоритмы</w:t>
            </w:r>
          </w:p>
        </w:tc>
        <w:tc>
          <w:tcPr>
            <w:tcW w:type="dxa" w:w="402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Поиск, генерация, фильтрация, прогноз, Pareto‑ранжирование, синтез</w:t>
            </w:r>
          </w:p>
        </w:tc>
        <w:tc>
          <w:tcPr>
            <w:tcW w:type="dxa" w:w="3572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Каждый модуль сравнивается с базовой линией</w:t>
            </w:r>
          </w:p>
        </w:tc>
      </w:tr>
      <w:tr>
        <w:tc>
          <w:tcPr>
            <w:tcW w:type="dxa" w:w="175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Интерфейс</w:t>
            </w:r>
          </w:p>
        </w:tc>
        <w:tc>
          <w:tcPr>
            <w:tcW w:type="dxa" w:w="402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Сетевой и автономный сценарии с единым контрактом</w:t>
            </w:r>
          </w:p>
        </w:tc>
        <w:tc>
          <w:tcPr>
            <w:tcW w:type="dxa" w:w="3572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Функции зависят от доступных локальных моделей</w:t>
            </w:r>
          </w:p>
        </w:tc>
      </w:tr>
      <w:tr>
        <w:tc>
          <w:tcPr>
            <w:tcW w:type="dxa" w:w="175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Наука</w:t>
            </w:r>
          </w:p>
        </w:tc>
        <w:tc>
          <w:tcPr>
            <w:tcW w:type="dxa" w:w="402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Протокол ретроспективной, слепой и внешней проверки</w:t>
            </w:r>
          </w:p>
        </w:tc>
        <w:tc>
          <w:tcPr>
            <w:tcW w:type="dxa" w:w="3572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До прохождения ворот — статус RESEARCH/ABSTAIN</w:t>
            </w:r>
          </w:p>
        </w:tc>
      </w:tr>
    </w:tbl>
    <w:p>
      <w:pPr>
        <w:spacing w:after="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940000" cy="317912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01_task_map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1791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Рисунок 1. Карта задачи KLT‑MATDES.</w:t>
      </w:r>
    </w:p>
    <w:p>
      <w:pPr>
        <w:pStyle w:val="Heading1"/>
      </w:pPr>
      <w:r>
        <w:t>2. Назначение, границы и критерий законченности</w:t>
      </w:r>
    </w:p>
    <w:p>
      <w:pPr>
        <w:pStyle w:val="Heading2"/>
      </w:pPr>
      <w:r>
        <w:t>2.1. Цель</w:t>
      </w:r>
    </w:p>
    <w:p>
      <w:r>
        <w:t>Цель проекта — построить проверяемую программно‑математическую цепочку, которая принимает формализованный профиль свойств и ограничений, генерирует либо извлекает кандидаты, прогнозирует их характеристики, предлагает пути получения и выпускает результат только вместе с трассировкой происхождения данных и оценкой применимости.</w:t>
      </w:r>
    </w:p>
    <w:p>
      <w:pPr>
        <w:pStyle w:val="Heading2"/>
      </w:pPr>
      <w:r>
        <w:t>2.2. Что входит в систему</w:t>
      </w:r>
    </w:p>
    <w:p>
      <w:pPr>
        <w:pStyle w:val="ListBullet"/>
        <w:spacing w:after="60"/>
        <w:ind w:left="255" w:hanging="113"/>
      </w:pPr>
      <w:r>
        <w:t>редактор целевого профиля: свойства, единицы, диапазоны, условия измерения, приоритеты и запреты;</w:t>
      </w:r>
    </w:p>
    <w:p>
      <w:pPr>
        <w:pStyle w:val="ListBullet"/>
        <w:spacing w:after="60"/>
        <w:ind w:left="255" w:hanging="113"/>
      </w:pPr>
      <w:r>
        <w:t>нормализованный ChemGraph для веществ, фаз, структур, процессов, измерений и источников;</w:t>
      </w:r>
    </w:p>
    <w:p>
      <w:pPr>
        <w:pStyle w:val="ListBullet"/>
        <w:spacing w:after="60"/>
        <w:ind w:left="255" w:hanging="113"/>
      </w:pPr>
      <w:r>
        <w:t>слой KLT‑RBD для реперов R, I, U, D, связей между ними и сравнительных пакетов;</w:t>
      </w:r>
    </w:p>
    <w:p>
      <w:pPr>
        <w:pStyle w:val="ListBullet"/>
        <w:spacing w:after="60"/>
        <w:ind w:left="255" w:hanging="113"/>
      </w:pPr>
      <w:r>
        <w:t>поиск аналогов, генерация кандидатов и многоступенчатая химическая фильтрация;</w:t>
      </w:r>
    </w:p>
    <w:p>
      <w:pPr>
        <w:pStyle w:val="ListBullet"/>
        <w:spacing w:after="60"/>
        <w:ind w:left="255" w:hanging="113"/>
      </w:pPr>
      <w:r>
        <w:t>ансамбль моделей свойств с оценкой неопределённости и области применимости;</w:t>
      </w:r>
    </w:p>
    <w:p>
      <w:pPr>
        <w:pStyle w:val="ListBullet"/>
        <w:spacing w:after="60"/>
        <w:ind w:left="255" w:hanging="113"/>
      </w:pPr>
      <w:r>
        <w:t>планировщик путей получения с учётом прекурсоров, режимов, рисков и доказательности;</w:t>
      </w:r>
    </w:p>
    <w:p>
      <w:pPr>
        <w:pStyle w:val="ListBullet"/>
        <w:spacing w:after="60"/>
        <w:ind w:left="255" w:hanging="113"/>
      </w:pPr>
      <w:r>
        <w:t>многокритериальное ранжирование, Pareto‑фронт, объяснение и режим ABSTAIN;</w:t>
      </w:r>
    </w:p>
    <w:p>
      <w:pPr>
        <w:pStyle w:val="ListBullet"/>
        <w:spacing w:after="60"/>
        <w:ind w:left="255" w:hanging="113"/>
      </w:pPr>
      <w:r>
        <w:t>машиночитаемый сертификат запуска, отчёт для исследователя и журнал версий.</w:t>
      </w:r>
    </w:p>
    <w:p>
      <w:pPr>
        <w:pStyle w:val="Heading2"/>
      </w:pPr>
      <w:r>
        <w:t>2.3. Что не входит без отдельной верификации</w:t>
      </w:r>
    </w:p>
    <w:p>
      <w:pPr>
        <w:pStyle w:val="ListBullet"/>
        <w:spacing w:after="60"/>
        <w:ind w:left="255" w:hanging="113"/>
      </w:pPr>
      <w:r>
        <w:t>утверждение о существовании нового материала только на основании вычисления;</w:t>
      </w:r>
    </w:p>
    <w:p>
      <w:pPr>
        <w:pStyle w:val="ListBullet"/>
        <w:spacing w:after="60"/>
        <w:ind w:left="255" w:hanging="113"/>
      </w:pPr>
      <w:r>
        <w:t>утверждение о синтезируемости без маршрута, источников и экспериментальной проверки;</w:t>
      </w:r>
    </w:p>
    <w:p>
      <w:pPr>
        <w:pStyle w:val="ListBullet"/>
        <w:spacing w:after="60"/>
        <w:ind w:left="255" w:hanging="113"/>
      </w:pPr>
      <w:r>
        <w:t>перенос λ‑истинности или иных математических координат в статус химической истинности;</w:t>
      </w:r>
    </w:p>
    <w:p>
      <w:pPr>
        <w:pStyle w:val="ListBullet"/>
        <w:spacing w:after="60"/>
        <w:ind w:left="255" w:hanging="113"/>
      </w:pPr>
      <w:r>
        <w:t>медицинские, экологические или промышленные гарантии безопасности;</w:t>
      </w:r>
    </w:p>
    <w:p>
      <w:pPr>
        <w:pStyle w:val="ListBullet"/>
        <w:spacing w:after="60"/>
        <w:ind w:left="255" w:hanging="113"/>
      </w:pPr>
      <w:r>
        <w:t>автоматическое повышение доказательного статуса после успешного программного теста.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"/>
        <w:gridCol w:w="9241"/>
      </w:tblGrid>
      <w:tr>
        <w:tc>
          <w:tcPr>
            <w:tcW w:type="dxa" w:w="142"/>
            <w:shd w:fill="C28B2C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9241"/>
            <w:shd w:fill="F4F7F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b/>
                <w:color w:val="C28B2C"/>
                <w:sz w:val="17"/>
              </w:rPr>
              <w:t>КРИТЕРИЙ ЗАКОНЧЕННОСТИ</w:t>
            </w:r>
          </w:p>
          <w:p>
            <w:pPr>
              <w:spacing w:after="40" w:line="245" w:lineRule="auto"/>
            </w:pPr>
            <w:r>
              <w:t>Версия считается законченной на своём уровне, когда для каждого результата доступны вход, версия данных и кода, детерминированные параметры, ограничения применимости, неопределённость, трассировка решений, тесты и корректный статус PASS / REVIEW / ABSTAIN / BLOCKED.</w:t>
            </w:r>
          </w:p>
        </w:tc>
      </w:tr>
    </w:tbl>
    <w:p>
      <w:pPr>
        <w:spacing w:after="0"/>
      </w:pPr>
    </w:p>
    <w:p>
      <w:pPr>
        <w:pStyle w:val="Heading1"/>
      </w:pPr>
      <w:r>
        <w:t>3. Научно‑методический контур</w:t>
      </w:r>
    </w:p>
    <w:p>
      <w:pPr>
        <w:pStyle w:val="Heading2"/>
      </w:pPr>
      <w:r>
        <w:t>3.1. Формализация объекта</w:t>
      </w:r>
    </w:p>
    <w:p>
      <w:r>
        <w:t>Материал представляется не одной формулой, а типизированным объектом x = (composition, phase, structure, defects, morphology, process, environment). Измерение свойства записывается вместе с методом, температурой, давлением, частотой, направлением, размерностью образца, неопределённостью и ссылкой на источник. Это предотвращает ложное объединение несопоставимых значений.</w:t>
      </w:r>
    </w:p>
    <w:p>
      <w:pPr>
        <w:pStyle w:val="Heading2"/>
      </w:pPr>
      <w:r>
        <w:t>3.2. Реперный пакет</w:t>
      </w:r>
    </w:p>
    <w:p>
      <w:r>
        <w:t>В рабочей модели KLT‑пакет кандидата задаётся четверкой Rep(x) = (R, I, U, D): R — опорные объекты и наблюдения; I — устойчивые отношения и инварианты внутри заданного класса преобразований; U — границы, неопределённости и условия применимости; D — структурная координата различения. Конкретный смысл каждого поля задаётся схемой предметного домена и не переносится между доменами по аналогии без явного морфизма.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"/>
        <w:gridCol w:w="9241"/>
      </w:tblGrid>
      <w:tr>
        <w:tc>
          <w:tcPr>
            <w:tcW w:type="dxa" w:w="142"/>
            <w:shd w:fill="0B7A75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9241"/>
            <w:shd w:fill="F4F7F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b/>
                <w:color w:val="0B7A75"/>
                <w:sz w:val="17"/>
              </w:rPr>
              <w:t>СТАТУС Λ</w:t>
            </w:r>
          </w:p>
          <w:p>
            <w:pPr>
              <w:spacing w:after="40" w:line="245" w:lineRule="auto"/>
            </w:pPr>
            <w:r>
              <w:t>λ‑профиль используется как внутренняя проективно‑реперная координата согласования пакета. Он не равен вероятности, химической истинности или экспериментальному подтверждению. Любой эмпирический вывод проходит отдельный доказательный контур.</w:t>
            </w:r>
          </w:p>
        </w:tc>
      </w:tr>
    </w:tbl>
    <w:p>
      <w:pPr>
        <w:spacing w:after="0"/>
      </w:pPr>
    </w:p>
    <w:p>
      <w:pPr>
        <w:pStyle w:val="Heading2"/>
      </w:pPr>
      <w:r>
        <w:t>3.3. Сравнение с базовой линией</w:t>
      </w:r>
    </w:p>
    <w:p>
      <w:r>
        <w:t>Научная ценность слоя KLT проверяется не демонстрацией отдельных удачных примеров, а заранее определённым сравнением с базовыми методами: поиском ближайших аналогов, регрессионными/графовыми моделями, физическими дескрипторами и тем же конвейером без KLT‑признаков. Добавочная ценность фиксируется только при улучшении заранее выбранных метрик на отложенных и внешних данных.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rPr>
          <w:tblHeader w:val="true"/>
        </w:trPr>
        <w:tc>
          <w:tcPr>
            <w:tcW w:type="dxa" w:w="1701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Уровень</w:t>
            </w:r>
          </w:p>
        </w:tc>
        <w:tc>
          <w:tcPr>
            <w:tcW w:type="dxa" w:w="3798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Допустимый вывод</w:t>
            </w:r>
          </w:p>
        </w:tc>
        <w:tc>
          <w:tcPr>
            <w:tcW w:type="dxa" w:w="3855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Недопустимое расширение</w:t>
            </w:r>
          </w:p>
        </w:tc>
      </w:tr>
      <w:tr>
        <w:tc>
          <w:tcPr>
            <w:tcW w:type="dxa" w:w="170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Математический</w:t>
            </w:r>
          </w:p>
        </w:tc>
        <w:tc>
          <w:tcPr>
            <w:tcW w:type="dxa" w:w="379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Свойство формальной конструкции при заданных аксиомах</w:t>
            </w:r>
          </w:p>
        </w:tc>
        <w:tc>
          <w:tcPr>
            <w:tcW w:type="dxa" w:w="385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Автоматический вывод о физическом мире</w:t>
            </w:r>
          </w:p>
        </w:tc>
      </w:tr>
      <w:tr>
        <w:tc>
          <w:tcPr>
            <w:tcW w:type="dxa" w:w="170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Вычислительный</w:t>
            </w:r>
          </w:p>
        </w:tc>
        <w:tc>
          <w:tcPr>
            <w:tcW w:type="dxa" w:w="379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Код воспроизводит объявленный расчёт и тесты</w:t>
            </w:r>
          </w:p>
        </w:tc>
        <w:tc>
          <w:tcPr>
            <w:tcW w:type="dxa" w:w="385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Научная валидность модели</w:t>
            </w:r>
          </w:p>
        </w:tc>
      </w:tr>
      <w:tr>
        <w:tc>
          <w:tcPr>
            <w:tcW w:type="dxa" w:w="170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Ретроспективный</w:t>
            </w:r>
          </w:p>
        </w:tc>
        <w:tc>
          <w:tcPr>
            <w:tcW w:type="dxa" w:w="379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Метрика на исторически разделённых данных</w:t>
            </w:r>
          </w:p>
        </w:tc>
        <w:tc>
          <w:tcPr>
            <w:tcW w:type="dxa" w:w="385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Проспективная способность</w:t>
            </w:r>
          </w:p>
        </w:tc>
      </w:tr>
      <w:tr>
        <w:tc>
          <w:tcPr>
            <w:tcW w:type="dxa" w:w="170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Слепой</w:t>
            </w:r>
          </w:p>
        </w:tc>
        <w:tc>
          <w:tcPr>
            <w:tcW w:type="dxa" w:w="379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Результат на скрытом канале по предрегистрации</w:t>
            </w:r>
          </w:p>
        </w:tc>
        <w:tc>
          <w:tcPr>
            <w:tcW w:type="dxa" w:w="385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Универсальность вне области</w:t>
            </w:r>
          </w:p>
        </w:tc>
      </w:tr>
      <w:tr>
        <w:tc>
          <w:tcPr>
            <w:tcW w:type="dxa" w:w="170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Внешний</w:t>
            </w:r>
          </w:p>
        </w:tc>
        <w:tc>
          <w:tcPr>
            <w:tcW w:type="dxa" w:w="379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Независимое воспроизведение в заявленной области</w:t>
            </w:r>
          </w:p>
        </w:tc>
        <w:tc>
          <w:tcPr>
            <w:tcW w:type="dxa" w:w="385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Гарантия для любого материала</w:t>
            </w:r>
          </w:p>
        </w:tc>
      </w:tr>
      <w:tr>
        <w:tc>
          <w:tcPr>
            <w:tcW w:type="dxa" w:w="170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Экспериментальный</w:t>
            </w:r>
          </w:p>
        </w:tc>
        <w:tc>
          <w:tcPr>
            <w:tcW w:type="dxa" w:w="379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Подтверждение конкретного образца и протокола</w:t>
            </w:r>
          </w:p>
        </w:tc>
        <w:tc>
          <w:tcPr>
            <w:tcW w:type="dxa" w:w="385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Подтверждение всех кандидатов класса</w:t>
            </w:r>
          </w:p>
        </w:tc>
      </w:tr>
    </w:tbl>
    <w:p>
      <w:pPr>
        <w:spacing w:after="0"/>
      </w:pPr>
    </w:p>
    <w:p>
      <w:pPr>
        <w:pStyle w:val="Heading1"/>
      </w:pPr>
      <w:r>
        <w:t>4. Концептуальная архитектура</w:t>
      </w:r>
    </w:p>
    <w:p>
      <w:r>
        <w:t>Архитектура построена как набор изолированных слоёв с версионируемыми контрактами. Это позволяет заменять источник данных или модель прогноза, не изменяя смысл сертификата и не смешивая научный статус с техническим состоянием сервиса.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rPr>
          <w:tblHeader w:val="true"/>
        </w:trPr>
        <w:tc>
          <w:tcPr>
            <w:tcW w:type="dxa" w:w="1701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Слой</w:t>
            </w:r>
          </w:p>
        </w:tc>
        <w:tc>
          <w:tcPr>
            <w:tcW w:type="dxa" w:w="4309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Основные модули</w:t>
            </w:r>
          </w:p>
        </w:tc>
        <w:tc>
          <w:tcPr>
            <w:tcW w:type="dxa" w:w="3345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Выход</w:t>
            </w:r>
          </w:p>
        </w:tc>
      </w:tr>
      <w:tr>
        <w:tc>
          <w:tcPr>
            <w:tcW w:type="dxa" w:w="170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1. Пользовательский</w:t>
            </w:r>
          </w:p>
        </w:tc>
        <w:tc>
          <w:tcPr>
            <w:tcW w:type="dxa" w:w="4309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TargetSpec Editor, сценарии, сравнение кандидатов</w:t>
            </w:r>
          </w:p>
        </w:tc>
        <w:tc>
          <w:tcPr>
            <w:tcW w:type="dxa" w:w="334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Целевая спецификация и запрос запуска</w:t>
            </w:r>
          </w:p>
        </w:tc>
      </w:tr>
      <w:tr>
        <w:tc>
          <w:tcPr>
            <w:tcW w:type="dxa" w:w="170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2. Оркестрация</w:t>
            </w:r>
          </w:p>
        </w:tc>
        <w:tc>
          <w:tcPr>
            <w:tcW w:type="dxa" w:w="4309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Run Manager, очередь, политика режимов</w:t>
            </w:r>
          </w:p>
        </w:tc>
        <w:tc>
          <w:tcPr>
            <w:tcW w:type="dxa" w:w="334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Детерминированный план вычисления</w:t>
            </w:r>
          </w:p>
        </w:tc>
      </w:tr>
      <w:tr>
        <w:tc>
          <w:tcPr>
            <w:tcW w:type="dxa" w:w="170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3. Предметное ядро</w:t>
            </w:r>
          </w:p>
        </w:tc>
        <w:tc>
          <w:tcPr>
            <w:tcW w:type="dxa" w:w="4309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Normalizer, ChemGraph, KLT Mapper, Candidate Engine</w:t>
            </w:r>
          </w:p>
        </w:tc>
        <w:tc>
          <w:tcPr>
            <w:tcW w:type="dxa" w:w="334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Типизированные кандидаты и признаки</w:t>
            </w:r>
          </w:p>
        </w:tc>
      </w:tr>
      <w:tr>
        <w:tc>
          <w:tcPr>
            <w:tcW w:type="dxa" w:w="170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4. Модели</w:t>
            </w:r>
          </w:p>
        </w:tc>
        <w:tc>
          <w:tcPr>
            <w:tcW w:type="dxa" w:w="4309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Property Ensemble, Applicability, Uncertainty</w:t>
            </w:r>
          </w:p>
        </w:tc>
        <w:tc>
          <w:tcPr>
            <w:tcW w:type="dxa" w:w="334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Прогнозы и интервалы</w:t>
            </w:r>
          </w:p>
        </w:tc>
      </w:tr>
      <w:tr>
        <w:tc>
          <w:tcPr>
            <w:tcW w:type="dxa" w:w="170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5. Синтез</w:t>
            </w:r>
          </w:p>
        </w:tc>
        <w:tc>
          <w:tcPr>
            <w:tcW w:type="dxa" w:w="4309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Route Planner, precursor/process constraints</w:t>
            </w:r>
          </w:p>
        </w:tc>
        <w:tc>
          <w:tcPr>
            <w:tcW w:type="dxa" w:w="334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Ранжированные маршруты</w:t>
            </w:r>
          </w:p>
        </w:tc>
      </w:tr>
      <w:tr>
        <w:tc>
          <w:tcPr>
            <w:tcW w:type="dxa" w:w="170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6. Доказательства</w:t>
            </w:r>
          </w:p>
        </w:tc>
        <w:tc>
          <w:tcPr>
            <w:tcW w:type="dxa" w:w="4309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Evidence Gate, ABSTAIN Policy, Certifier</w:t>
            </w:r>
          </w:p>
        </w:tc>
        <w:tc>
          <w:tcPr>
            <w:tcW w:type="dxa" w:w="334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Статус и сертификат</w:t>
            </w:r>
          </w:p>
        </w:tc>
      </w:tr>
      <w:tr>
        <w:tc>
          <w:tcPr>
            <w:tcW w:type="dxa" w:w="170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7. Данные</w:t>
            </w:r>
          </w:p>
        </w:tc>
        <w:tc>
          <w:tcPr>
            <w:tcW w:type="dxa" w:w="4309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SQLite/PostgreSQL, файловое хранилище, манифесты</w:t>
            </w:r>
          </w:p>
        </w:tc>
        <w:tc>
          <w:tcPr>
            <w:tcW w:type="dxa" w:w="334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Версионированный корпус</w:t>
            </w:r>
          </w:p>
        </w:tc>
      </w:tr>
    </w:tbl>
    <w:p>
      <w:pPr>
        <w:spacing w:after="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940000" cy="317912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02_architectur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1791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Рисунок 2. Семислойная архитектура.</w:t>
      </w:r>
    </w:p>
    <w:p>
      <w:pPr>
        <w:pStyle w:val="Heading2"/>
      </w:pPr>
      <w:r>
        <w:t>4.1. Принцип разделения</w:t>
      </w:r>
    </w:p>
    <w:p>
      <w:pPr>
        <w:pStyle w:val="ListBullet"/>
        <w:spacing w:after="60"/>
        <w:ind w:left="255" w:hanging="113"/>
      </w:pPr>
      <w:r>
        <w:t>данные источника сохраняются отдельно от нормализованных представлений;</w:t>
      </w:r>
    </w:p>
    <w:p>
      <w:pPr>
        <w:pStyle w:val="ListBullet"/>
        <w:spacing w:after="60"/>
        <w:ind w:left="255" w:hanging="113"/>
      </w:pPr>
      <w:r>
        <w:t>расчётные признаки не перезаписывают исходные наблюдения;</w:t>
      </w:r>
    </w:p>
    <w:p>
      <w:pPr>
        <w:pStyle w:val="ListBullet"/>
        <w:spacing w:after="60"/>
        <w:ind w:left="255" w:hanging="113"/>
      </w:pPr>
      <w:r>
        <w:t>предсказание свойства не считается фактом базы до внешнего подтверждения;</w:t>
      </w:r>
    </w:p>
    <w:p>
      <w:pPr>
        <w:pStyle w:val="ListBullet"/>
        <w:spacing w:after="60"/>
        <w:ind w:left="255" w:hanging="113"/>
      </w:pPr>
      <w:r>
        <w:t>маршрут синтеза хранится как гипотеза с набором предпосылок;</w:t>
      </w:r>
    </w:p>
    <w:p>
      <w:pPr>
        <w:pStyle w:val="ListBullet"/>
        <w:spacing w:after="60"/>
        <w:ind w:left="255" w:hanging="113"/>
      </w:pPr>
      <w:r>
        <w:t>интерфейс отображает ограничения и причины отказа наравне с успешными результатами.</w:t>
      </w:r>
    </w:p>
    <w:p>
      <w:pPr>
        <w:pStyle w:val="Heading1"/>
      </w:pPr>
      <w:r>
        <w:t>5. Информационная модель KLT‑RBD/ChemGraph</w:t>
      </w:r>
    </w:p>
    <w:p>
      <w:pPr>
        <w:pStyle w:val="Heading2"/>
      </w:pPr>
      <w:r>
        <w:t>5.1. Основные сущности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rPr>
          <w:tblHeader w:val="true"/>
        </w:trPr>
        <w:tc>
          <w:tcPr>
            <w:tcW w:type="dxa" w:w="1757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Сущность</w:t>
            </w:r>
          </w:p>
        </w:tc>
        <w:tc>
          <w:tcPr>
            <w:tcW w:type="dxa" w:w="4252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Ключевые поля</w:t>
            </w:r>
          </w:p>
        </w:tc>
        <w:tc>
          <w:tcPr>
            <w:tcW w:type="dxa" w:w="3345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Правило качества</w:t>
            </w:r>
          </w:p>
        </w:tc>
      </w:tr>
      <w:tr>
        <w:tc>
          <w:tcPr>
            <w:tcW w:type="dxa" w:w="175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Material</w:t>
            </w:r>
          </w:p>
        </w:tc>
        <w:tc>
          <w:tcPr>
            <w:tcW w:type="dxa" w:w="4252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состав, идентификаторы, заряд, чистота</w:t>
            </w:r>
          </w:p>
        </w:tc>
        <w:tc>
          <w:tcPr>
            <w:tcW w:type="dxa" w:w="334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формула нормализована; исходная строка сохранена</w:t>
            </w:r>
          </w:p>
        </w:tc>
      </w:tr>
      <w:tr>
        <w:tc>
          <w:tcPr>
            <w:tcW w:type="dxa" w:w="175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Phase/Structure</w:t>
            </w:r>
          </w:p>
        </w:tc>
        <w:tc>
          <w:tcPr>
            <w:tcW w:type="dxa" w:w="4252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пространственная группа, решётка, позиции, дефекты</w:t>
            </w:r>
          </w:p>
        </w:tc>
        <w:tc>
          <w:tcPr>
            <w:tcW w:type="dxa" w:w="334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структура связана с конкретной фазой</w:t>
            </w:r>
          </w:p>
        </w:tc>
      </w:tr>
      <w:tr>
        <w:tc>
          <w:tcPr>
            <w:tcW w:type="dxa" w:w="175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Sample</w:t>
            </w:r>
          </w:p>
        </w:tc>
        <w:tc>
          <w:tcPr>
            <w:tcW w:type="dxa" w:w="4252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форма, размер, морфология, история</w:t>
            </w:r>
          </w:p>
        </w:tc>
        <w:tc>
          <w:tcPr>
            <w:tcW w:type="dxa" w:w="334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не смешивать образцы с разной обработкой</w:t>
            </w:r>
          </w:p>
        </w:tc>
      </w:tr>
      <w:tr>
        <w:tc>
          <w:tcPr>
            <w:tcW w:type="dxa" w:w="175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PropertyObservation</w:t>
            </w:r>
          </w:p>
        </w:tc>
        <w:tc>
          <w:tcPr>
            <w:tcW w:type="dxa" w:w="4252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значение, единица, метод, условия, σ</w:t>
            </w:r>
          </w:p>
        </w:tc>
        <w:tc>
          <w:tcPr>
            <w:tcW w:type="dxa" w:w="334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единица и контекст обязательны</w:t>
            </w:r>
          </w:p>
        </w:tc>
      </w:tr>
      <w:tr>
        <w:tc>
          <w:tcPr>
            <w:tcW w:type="dxa" w:w="175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ProcessStep</w:t>
            </w:r>
          </w:p>
        </w:tc>
        <w:tc>
          <w:tcPr>
            <w:tcW w:type="dxa" w:w="4252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операция, прекурсоры, T, p, t, атмосфера</w:t>
            </w:r>
          </w:p>
        </w:tc>
        <w:tc>
          <w:tcPr>
            <w:tcW w:type="dxa" w:w="334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каждый параметр имеет источник/диапазон</w:t>
            </w:r>
          </w:p>
        </w:tc>
      </w:tr>
      <w:tr>
        <w:tc>
          <w:tcPr>
            <w:tcW w:type="dxa" w:w="175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Source</w:t>
            </w:r>
          </w:p>
        </w:tc>
        <w:tc>
          <w:tcPr>
            <w:tcW w:type="dxa" w:w="4252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DOI/URL/файл, лицензия, версия, страницы</w:t>
            </w:r>
          </w:p>
        </w:tc>
        <w:tc>
          <w:tcPr>
            <w:tcW w:type="dxa" w:w="334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трассировка до первичного фрагмента</w:t>
            </w:r>
          </w:p>
        </w:tc>
      </w:tr>
      <w:tr>
        <w:tc>
          <w:tcPr>
            <w:tcW w:type="dxa" w:w="175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ReperNode/Edge</w:t>
            </w:r>
          </w:p>
        </w:tc>
        <w:tc>
          <w:tcPr>
            <w:tcW w:type="dxa" w:w="4252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тип R/I/U/D, связь, вес, основание</w:t>
            </w:r>
          </w:p>
        </w:tc>
        <w:tc>
          <w:tcPr>
            <w:tcW w:type="dxa" w:w="334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семантика задана схемой домена</w:t>
            </w:r>
          </w:p>
        </w:tc>
      </w:tr>
      <w:tr>
        <w:tc>
          <w:tcPr>
            <w:tcW w:type="dxa" w:w="175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Prediction</w:t>
            </w:r>
          </w:p>
        </w:tc>
        <w:tc>
          <w:tcPr>
            <w:tcW w:type="dxa" w:w="4252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модель, версия, значение, интервал, applicability</w:t>
            </w:r>
          </w:p>
        </w:tc>
        <w:tc>
          <w:tcPr>
            <w:tcW w:type="dxa" w:w="334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не записывать как observation</w:t>
            </w:r>
          </w:p>
        </w:tc>
      </w:tr>
      <w:tr>
        <w:tc>
          <w:tcPr>
            <w:tcW w:type="dxa" w:w="175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RunCertificate</w:t>
            </w:r>
          </w:p>
        </w:tc>
        <w:tc>
          <w:tcPr>
            <w:tcW w:type="dxa" w:w="4252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вход, hashes, код, данные, статус, blockers</w:t>
            </w:r>
          </w:p>
        </w:tc>
        <w:tc>
          <w:tcPr>
            <w:tcW w:type="dxa" w:w="334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неизменяемый после выпуска</w:t>
            </w:r>
          </w:p>
        </w:tc>
      </w:tr>
    </w:tbl>
    <w:p>
      <w:pPr>
        <w:spacing w:after="0"/>
      </w:pPr>
    </w:p>
    <w:p>
      <w:pPr>
        <w:pStyle w:val="Heading2"/>
      </w:pPr>
      <w:r>
        <w:t>5.2. Минимальные графовые связи</w:t>
      </w:r>
    </w:p>
    <w:p>
      <w:r>
        <w:t>Граф содержит связи HAS_PHASE, HAS_STRUCTURE, PREPARED_BY, MEASURED_AS, UNDER_CONDITION, DERIVED_FROM, ANALOG_OF, TRANSFORMS_TO, SUPPORTS, CONTRADICTS и OUTSIDE_DOMAIN. Каждое ребро имеет тип, направление, источник, уровень доказательности и временную метку версии. Для KLT‑слоя дополнительно фиксируется пакет, класс допустимых преобразований и правило вычисления координат.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940000" cy="317912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03_chemgraph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1791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Рисунок 3. ChemGraph и реперный пакет.</w:t>
      </w:r>
    </w:p>
    <w:p>
      <w:pPr>
        <w:pStyle w:val="Heading2"/>
      </w:pPr>
      <w:r>
        <w:t>5.3. Контроль единиц и условий</w:t>
      </w:r>
    </w:p>
    <w:p>
      <w:r>
        <w:t>Все численные свойства хранятся в исходной и канонической единице. Преобразование сопровождается формулой, версией справочника и тестом размерности. Если условия измерения отсутствуют, запись остаётся доступной для поиска, но может быть исключена из обучения или понижена по доказательному весу.</w:t>
      </w:r>
    </w:p>
    <w:p>
      <w:pPr>
        <w:pStyle w:val="Heading1"/>
      </w:pPr>
      <w:r>
        <w:t>6. Алгоритмический конвейер</w:t>
      </w:r>
    </w:p>
    <w:p>
      <w:pPr>
        <w:spacing w:after="80"/>
        <w:ind w:left="340" w:hanging="340"/>
      </w:pPr>
      <w:r>
        <w:rPr>
          <w:b/>
          <w:color w:val="0B7A75"/>
        </w:rPr>
        <w:t xml:space="preserve">1. </w:t>
      </w:r>
      <w:r>
        <w:t>Принять TargetSpec: целевые диапазоны, обязательные и мягкие ограничения, условия эксплуатации и веса целей.</w:t>
      </w:r>
    </w:p>
    <w:p>
      <w:pPr>
        <w:spacing w:after="80"/>
        <w:ind w:left="340" w:hanging="340"/>
      </w:pPr>
      <w:r>
        <w:rPr>
          <w:b/>
          <w:color w:val="0B7A75"/>
        </w:rPr>
        <w:t xml:space="preserve">2. </w:t>
      </w:r>
      <w:r>
        <w:t>Проверить размерности, совместимость требований и полноту обязательных полей; при противоречии вернуть BLOCKED.</w:t>
      </w:r>
    </w:p>
    <w:p>
      <w:pPr>
        <w:spacing w:after="80"/>
        <w:ind w:left="340" w:hanging="340"/>
      </w:pPr>
      <w:r>
        <w:rPr>
          <w:b/>
          <w:color w:val="0B7A75"/>
        </w:rPr>
        <w:t xml:space="preserve">3. </w:t>
      </w:r>
      <w:r>
        <w:t>Сформировать область Ω поиска: классы составов, фаз, структур, допустимых элементов и процессов.</w:t>
      </w:r>
    </w:p>
    <w:p>
      <w:pPr>
        <w:spacing w:after="80"/>
        <w:ind w:left="340" w:hanging="340"/>
      </w:pPr>
      <w:r>
        <w:rPr>
          <w:b/>
          <w:color w:val="0B7A75"/>
        </w:rPr>
        <w:t xml:space="preserve">4. </w:t>
      </w:r>
      <w:r>
        <w:t>Найти опорные материалы и наблюдения; построить локальный ChemGraph и реперный пакет.</w:t>
      </w:r>
    </w:p>
    <w:p>
      <w:pPr>
        <w:spacing w:after="80"/>
        <w:ind w:left="340" w:hanging="340"/>
      </w:pPr>
      <w:r>
        <w:rPr>
          <w:b/>
          <w:color w:val="0B7A75"/>
        </w:rPr>
        <w:t xml:space="preserve">5. </w:t>
      </w:r>
      <w:r>
        <w:t>Сгенерировать кандидаты поиском по базе, заменами, допированием, прототипированием структур и подключаемыми генеративными моделями.</w:t>
      </w:r>
    </w:p>
    <w:p>
      <w:pPr>
        <w:spacing w:after="80"/>
        <w:ind w:left="340" w:hanging="340"/>
      </w:pPr>
      <w:r>
        <w:rPr>
          <w:b/>
          <w:color w:val="0B7A75"/>
        </w:rPr>
        <w:t xml:space="preserve">6. </w:t>
      </w:r>
      <w:r>
        <w:t>Применить жёсткие фильтры химической допустимости, состава, стоимости, токсикологического запрета и технологических ограничений.</w:t>
      </w:r>
    </w:p>
    <w:p>
      <w:pPr>
        <w:spacing w:after="80"/>
        <w:ind w:left="340" w:hanging="340"/>
      </w:pPr>
      <w:r>
        <w:rPr>
          <w:b/>
          <w:color w:val="0B7A75"/>
        </w:rPr>
        <w:t xml:space="preserve">7. </w:t>
      </w:r>
      <w:r>
        <w:t>Получить прогнозы свойств ансамблем моделей; вычислить неопределённость и область применимости.</w:t>
      </w:r>
    </w:p>
    <w:p>
      <w:pPr>
        <w:spacing w:after="80"/>
        <w:ind w:left="340" w:hanging="340"/>
      </w:pPr>
      <w:r>
        <w:rPr>
          <w:b/>
          <w:color w:val="0B7A75"/>
        </w:rPr>
        <w:t xml:space="preserve">8. </w:t>
      </w:r>
      <w:r>
        <w:t>Рассчитать KLT‑координаты сравнительного пакета; не использовать их вне зафиксированной схемы домена.</w:t>
      </w:r>
    </w:p>
    <w:p>
      <w:pPr>
        <w:spacing w:after="80"/>
        <w:ind w:left="340" w:hanging="340"/>
      </w:pPr>
      <w:r>
        <w:rPr>
          <w:b/>
          <w:color w:val="0B7A75"/>
        </w:rPr>
        <w:t xml:space="preserve">9. </w:t>
      </w:r>
      <w:r>
        <w:t>Построить Pareto‑фронт и устойчивое ранжирование при вариации весов и неопределённостей.</w:t>
      </w:r>
    </w:p>
    <w:p>
      <w:pPr>
        <w:spacing w:after="80"/>
        <w:ind w:left="340" w:hanging="340"/>
      </w:pPr>
      <w:r>
        <w:rPr>
          <w:b/>
          <w:color w:val="0B7A75"/>
        </w:rPr>
        <w:t xml:space="preserve">10. </w:t>
      </w:r>
      <w:r>
        <w:t>Для верхних кандидатов построить пути получения; проверить доступность прекурсоров и критические условия.</w:t>
      </w:r>
    </w:p>
    <w:p>
      <w:pPr>
        <w:spacing w:after="80"/>
        <w:ind w:left="340" w:hanging="340"/>
      </w:pPr>
      <w:r>
        <w:rPr>
          <w:b/>
          <w:color w:val="0B7A75"/>
        </w:rPr>
        <w:t xml:space="preserve">11. </w:t>
      </w:r>
      <w:r>
        <w:t>Применить доказательные ворота. При недостатке данных — ABSTAIN с точным реестром блокеров.</w:t>
      </w:r>
    </w:p>
    <w:p>
      <w:pPr>
        <w:spacing w:after="80"/>
        <w:ind w:left="340" w:hanging="340"/>
      </w:pPr>
      <w:r>
        <w:rPr>
          <w:b/>
          <w:color w:val="0B7A75"/>
        </w:rPr>
        <w:t xml:space="preserve">12. </w:t>
      </w:r>
      <w:r>
        <w:t>Выпустить отчёт и сертификат запуска; сохранить хеши входа, корпуса, моделей, кода и результатов.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940000" cy="317912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04_pipelin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1791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Рисунок 4. Конвейер «цель → кандидат → маршрут → сертификат».</w:t>
      </w:r>
    </w:p>
    <w:p>
      <w:pPr>
        <w:pStyle w:val="Heading2"/>
      </w:pPr>
      <w:r>
        <w:t>6.1. Детерминированность</w:t>
      </w:r>
    </w:p>
    <w:p>
      <w:r>
        <w:t>Любой стохастический модуль получает фиксируемый seed. Порядок фильтров, версии моделей, гиперпараметры и состояние справочников входят в RunManifest. Повтор запуска на тех же байтах должен воспроизводить список кандидатов либо явно сообщать о недетерминированной зависимости.</w:t>
      </w:r>
    </w:p>
    <w:p>
      <w:pPr>
        <w:pStyle w:val="Heading1"/>
      </w:pPr>
      <w:r>
        <w:t>7. Обратное проектирование и ранжирование кандидатов</w:t>
      </w:r>
    </w:p>
    <w:p>
      <w:pPr>
        <w:pStyle w:val="Heading2"/>
      </w:pPr>
      <w:r>
        <w:t>7.1. Целевая спецификация</w:t>
      </w:r>
    </w:p>
    <w:p>
      <w:r>
        <w:t>TargetSpec = (Y*, C_hard, C_soft, E, W), где Y* — целевые свойства и интервалы; C_hard — запреты и необходимые условия; C_soft — предпочтения; E — условия эксплуатации и измерения; W — веса либо правило Pareto‑сравнения. Если пользователь не может задать веса, система возвращает фронт не доминируемых решений и сценарный анализ.</w:t>
      </w:r>
    </w:p>
    <w:p>
      <w:pPr>
        <w:pStyle w:val="Heading2"/>
      </w:pPr>
      <w:r>
        <w:t>7.2. Вектор оценки</w:t>
      </w:r>
    </w:p>
    <w:p>
      <w:r>
        <w:t>Для кандидата x формируется q(x) = (d_property, u_model, a_domain, e_evidence, c_synthesis, r_risk, k_KLT). Здесь d_property — отклонение от цели; u_model — неопределённость; a_domain — близость к области обучения; e_evidence — качество источников; c_synthesis — оценка сложности пути; r_risk — штраф риска; k_KLT — реперная согласованность по конкретной схеме. Скалярный рейтинг допускается только как представление выбранного сценария, а не как абсолютная мера качества.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rPr>
          <w:tblHeader w:val="true"/>
        </w:trPr>
        <w:tc>
          <w:tcPr>
            <w:tcW w:type="dxa" w:w="2324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Механизм генерации</w:t>
            </w:r>
          </w:p>
        </w:tc>
        <w:tc>
          <w:tcPr>
            <w:tcW w:type="dxa" w:w="3515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Назначение</w:t>
            </w:r>
          </w:p>
        </w:tc>
        <w:tc>
          <w:tcPr>
            <w:tcW w:type="dxa" w:w="3515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Обязательная защита</w:t>
            </w:r>
          </w:p>
        </w:tc>
      </w:tr>
      <w:tr>
        <w:tc>
          <w:tcPr>
            <w:tcW w:type="dxa" w:w="232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Поиск аналогов</w:t>
            </w:r>
          </w:p>
        </w:tc>
        <w:tc>
          <w:tcPr>
            <w:tcW w:type="dxa" w:w="351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быстрый базовый список</w:t>
            </w:r>
          </w:p>
        </w:tc>
        <w:tc>
          <w:tcPr>
            <w:tcW w:type="dxa" w:w="351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разделение наблюдаемых и прогнозных свойств</w:t>
            </w:r>
          </w:p>
        </w:tc>
      </w:tr>
      <w:tr>
        <w:tc>
          <w:tcPr>
            <w:tcW w:type="dxa" w:w="232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Элементные замены</w:t>
            </w:r>
          </w:p>
        </w:tc>
        <w:tc>
          <w:tcPr>
            <w:tcW w:type="dxa" w:w="351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локальное расширение состава</w:t>
            </w:r>
          </w:p>
        </w:tc>
        <w:tc>
          <w:tcPr>
            <w:tcW w:type="dxa" w:w="351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валентность, заряд, радиусы, запрещённые элементы</w:t>
            </w:r>
          </w:p>
        </w:tc>
      </w:tr>
      <w:tr>
        <w:tc>
          <w:tcPr>
            <w:tcW w:type="dxa" w:w="232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Допирование</w:t>
            </w:r>
          </w:p>
        </w:tc>
        <w:tc>
          <w:tcPr>
            <w:tcW w:type="dxa" w:w="351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тонкая настройка свойств</w:t>
            </w:r>
          </w:p>
        </w:tc>
        <w:tc>
          <w:tcPr>
            <w:tcW w:type="dxa" w:w="351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диапазон концентраций и фазовая устойчивость</w:t>
            </w:r>
          </w:p>
        </w:tc>
      </w:tr>
      <w:tr>
        <w:tc>
          <w:tcPr>
            <w:tcW w:type="dxa" w:w="232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Структурные прототипы</w:t>
            </w:r>
          </w:p>
        </w:tc>
        <w:tc>
          <w:tcPr>
            <w:tcW w:type="dxa" w:w="351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поиск изоморфных семейств</w:t>
            </w:r>
          </w:p>
        </w:tc>
        <w:tc>
          <w:tcPr>
            <w:tcW w:type="dxa" w:w="351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совместимость состава и прототипа</w:t>
            </w:r>
          </w:p>
        </w:tc>
      </w:tr>
      <w:tr>
        <w:tc>
          <w:tcPr>
            <w:tcW w:type="dxa" w:w="232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Оптимизатор по суррогату</w:t>
            </w:r>
          </w:p>
        </w:tc>
        <w:tc>
          <w:tcPr>
            <w:tcW w:type="dxa" w:w="351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эффективный поиск дорогой функции</w:t>
            </w:r>
          </w:p>
        </w:tc>
        <w:tc>
          <w:tcPr>
            <w:tcW w:type="dxa" w:w="351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uncertainty + stopping rule</w:t>
            </w:r>
          </w:p>
        </w:tc>
      </w:tr>
      <w:tr>
        <w:tc>
          <w:tcPr>
            <w:tcW w:type="dxa" w:w="232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Генеративный модуль</w:t>
            </w:r>
          </w:p>
        </w:tc>
        <w:tc>
          <w:tcPr>
            <w:tcW w:type="dxa" w:w="351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дальний поиск</w:t>
            </w:r>
          </w:p>
        </w:tc>
        <w:tc>
          <w:tcPr>
            <w:tcW w:type="dxa" w:w="351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жёсткая валидация и маркировка гипотезы</w:t>
            </w:r>
          </w:p>
        </w:tc>
      </w:tr>
    </w:tbl>
    <w:p>
      <w:pPr>
        <w:spacing w:after="0"/>
      </w:pPr>
    </w:p>
    <w:p>
      <w:pPr>
        <w:pStyle w:val="Heading2"/>
      </w:pPr>
      <w:r>
        <w:t>7.3. Устойчивость ранжирования</w:t>
      </w:r>
    </w:p>
    <w:p>
      <w:r>
        <w:t>Вместе с позицией кандидата выводятся интервалы ранга при вариации весов, границ свойств и модельной ошибки. Кандидат, остающийся на Pareto‑фронте в большинстве допустимых сценариев, маркируется как устойчивый. Перестановка кандидатов при малом изменении предпосылок показывается пользователю как чувствительность, а не скрывается усреднением.</w:t>
      </w:r>
    </w:p>
    <w:p>
      <w:pPr>
        <w:pStyle w:val="Heading1"/>
      </w:pPr>
      <w:r>
        <w:t>8. Планирование путей получения</w:t>
      </w:r>
    </w:p>
    <w:p>
      <w:r>
        <w:t>Планировщик синтеза работает по графу процессов: узлами являются вещества, фазы и промежуточные состояния, рёбрами — операции с параметрами. Маршрут оценивается по химической правдоподобности, источникам, доступности прекурсоров, числу стадий, диапазонам температуры/давления, чувствительности к атмосфере, ожидаемой селективности, отходам и риску.</w:t>
      </w:r>
    </w:p>
    <w:p>
      <w:pPr>
        <w:pStyle w:val="Heading2"/>
      </w:pPr>
      <w:r>
        <w:t>8.1. Представление шага</w:t>
      </w:r>
    </w:p>
    <w:p>
      <w:r>
        <w:t>ProcessStep = (inputs, operation, T, p, t, atmosphere, additives, equipment, outputs, evidence, uncertainty). Неизвестный параметр не заполняется правдоподобным значением автоматически: он остаётся OPEN и включается в список экспериментальных факторов.</w:t>
      </w:r>
    </w:p>
    <w:p>
      <w:pPr>
        <w:pStyle w:val="Heading2"/>
      </w:pPr>
      <w:r>
        <w:t>8.2. Поиск маршрута</w:t>
      </w:r>
    </w:p>
    <w:p>
      <w:pPr>
        <w:pStyle w:val="ListBullet"/>
        <w:spacing w:after="60"/>
        <w:ind w:left="255" w:hanging="113"/>
      </w:pPr>
      <w:r>
        <w:t>ретросинтетический поиск от целевой фазы к доступным прекурсорам;</w:t>
      </w:r>
    </w:p>
    <w:p>
      <w:pPr>
        <w:pStyle w:val="ListBullet"/>
        <w:spacing w:after="60"/>
        <w:ind w:left="255" w:hanging="113"/>
      </w:pPr>
      <w:r>
        <w:t>прямой поиск от библиотеки прекурсоров к целевому узлу;</w:t>
      </w:r>
    </w:p>
    <w:p>
      <w:pPr>
        <w:pStyle w:val="ListBullet"/>
        <w:spacing w:after="60"/>
        <w:ind w:left="255" w:hanging="113"/>
      </w:pPr>
      <w:r>
        <w:t>beam search/A* с ограничениями и штрафами неопределённости;</w:t>
      </w:r>
    </w:p>
    <w:p>
      <w:pPr>
        <w:pStyle w:val="ListBullet"/>
        <w:spacing w:after="60"/>
        <w:ind w:left="255" w:hanging="113"/>
      </w:pPr>
      <w:r>
        <w:t>альтернативные маршруты с различными профилями оборудования и риска;</w:t>
      </w:r>
    </w:p>
    <w:p>
      <w:pPr>
        <w:pStyle w:val="ListBullet"/>
        <w:spacing w:after="60"/>
        <w:ind w:left="255" w:hanging="113"/>
      </w:pPr>
      <w:r>
        <w:t>остановка с ABSTAIN, если отсутствует связный путь достаточной доказательности.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940000" cy="317912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05_synthesis_routes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1791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Рисунок 5. Граф маршрутов получения.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"/>
        <w:gridCol w:w="9241"/>
      </w:tblGrid>
      <w:tr>
        <w:tc>
          <w:tcPr>
            <w:tcW w:type="dxa" w:w="142"/>
            <w:shd w:fill="A54646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9241"/>
            <w:shd w:fill="F4F7F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b/>
                <w:color w:val="A54646"/>
                <w:sz w:val="17"/>
              </w:rPr>
              <w:t>БЕЗОПАСНОСТЬ</w:t>
            </w:r>
          </w:p>
          <w:p>
            <w:pPr>
              <w:spacing w:after="40" w:line="245" w:lineRule="auto"/>
            </w:pPr>
            <w:r>
              <w:t>Документ описывает вычислительное планирование. Практический синтез требует отдельной оценки опасностей, SDS, совместимости оборудования, локальных регламентов и одобрения квалифицированного специалиста.</w:t>
            </w:r>
          </w:p>
        </w:tc>
      </w:tr>
    </w:tbl>
    <w:p>
      <w:pPr>
        <w:spacing w:after="0"/>
      </w:pPr>
    </w:p>
    <w:p>
      <w:pPr>
        <w:pStyle w:val="Heading1"/>
      </w:pPr>
      <w:r>
        <w:t>9. Доказательный контур, неопределённость и ABSTAIN</w:t>
      </w:r>
    </w:p>
    <w:p>
      <w:pPr>
        <w:pStyle w:val="Heading2"/>
      </w:pPr>
      <w:r>
        <w:t>9.1. Два независимых статуса</w:t>
      </w:r>
    </w:p>
    <w:p>
      <w:r>
        <w:t>Каждый результат имеет технический статус выполнения и научный статус утверждения. Успешное завершение кода означает только то, что расчёт выполнен согласно контракту; научный статус определяется качеством данных, дизайном проверки и областью применимости.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rPr>
          <w:tblHeader w:val="true"/>
        </w:trPr>
        <w:tc>
          <w:tcPr>
            <w:tcW w:type="dxa" w:w="1701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4082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Смысл</w:t>
            </w:r>
          </w:p>
        </w:tc>
        <w:tc>
          <w:tcPr>
            <w:tcW w:type="dxa" w:w="3572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Типичный триггер</w:t>
            </w:r>
          </w:p>
        </w:tc>
      </w:tr>
      <w:tr>
        <w:tc>
          <w:tcPr>
            <w:tcW w:type="dxa" w:w="170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PASS</w:t>
            </w:r>
          </w:p>
        </w:tc>
        <w:tc>
          <w:tcPr>
            <w:tcW w:type="dxa" w:w="4082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расчёт завершён, все обязательные ворота текущего уровня пройдены</w:t>
            </w:r>
          </w:p>
        </w:tc>
        <w:tc>
          <w:tcPr>
            <w:tcW w:type="dxa" w:w="3572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полный вход, модели применимы, сертификат собран</w:t>
            </w:r>
          </w:p>
        </w:tc>
      </w:tr>
      <w:tr>
        <w:tc>
          <w:tcPr>
            <w:tcW w:type="dxa" w:w="170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REVIEW</w:t>
            </w:r>
          </w:p>
        </w:tc>
        <w:tc>
          <w:tcPr>
            <w:tcW w:type="dxa" w:w="4082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результат пригоден для экспертного рассмотрения</w:t>
            </w:r>
          </w:p>
        </w:tc>
        <w:tc>
          <w:tcPr>
            <w:tcW w:type="dxa" w:w="3572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ограниченная неоднозначность или чувствительность</w:t>
            </w:r>
          </w:p>
        </w:tc>
      </w:tr>
      <w:tr>
        <w:tc>
          <w:tcPr>
            <w:tcW w:type="dxa" w:w="170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ABSTAIN</w:t>
            </w:r>
          </w:p>
        </w:tc>
        <w:tc>
          <w:tcPr>
            <w:tcW w:type="dxa" w:w="4082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система сознательно не ранжирует или не рекомендует</w:t>
            </w:r>
          </w:p>
        </w:tc>
        <w:tc>
          <w:tcPr>
            <w:tcW w:type="dxa" w:w="3572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вне области, высокая неопределённость, конфликт источников</w:t>
            </w:r>
          </w:p>
        </w:tc>
      </w:tr>
      <w:tr>
        <w:tc>
          <w:tcPr>
            <w:tcW w:type="dxa" w:w="170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BLOCKED</w:t>
            </w:r>
          </w:p>
        </w:tc>
        <w:tc>
          <w:tcPr>
            <w:tcW w:type="dxa" w:w="4082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вычисление не должно начинаться/продолжаться</w:t>
            </w:r>
          </w:p>
        </w:tc>
        <w:tc>
          <w:tcPr>
            <w:tcW w:type="dxa" w:w="3572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противоречивый вход, отсутствуют обязательные данные</w:t>
            </w:r>
          </w:p>
        </w:tc>
      </w:tr>
    </w:tbl>
    <w:p>
      <w:pPr>
        <w:spacing w:after="0"/>
      </w:pPr>
    </w:p>
    <w:p>
      <w:pPr>
        <w:pStyle w:val="Heading2"/>
      </w:pPr>
      <w:r>
        <w:t>9.2. Доказательные ворота</w:t>
      </w:r>
    </w:p>
    <w:p>
      <w:pPr>
        <w:spacing w:after="80"/>
        <w:ind w:left="340" w:hanging="340"/>
      </w:pPr>
      <w:r>
        <w:rPr>
          <w:b/>
          <w:color w:val="0B7A75"/>
        </w:rPr>
        <w:t xml:space="preserve">1. </w:t>
      </w:r>
      <w:r>
        <w:t>Source Gate: происхождение и лицензия данных известны; критические поля имеют ссылки.</w:t>
      </w:r>
    </w:p>
    <w:p>
      <w:pPr>
        <w:spacing w:after="80"/>
        <w:ind w:left="340" w:hanging="340"/>
      </w:pPr>
      <w:r>
        <w:rPr>
          <w:b/>
          <w:color w:val="0B7A75"/>
        </w:rPr>
        <w:t xml:space="preserve">2. </w:t>
      </w:r>
      <w:r>
        <w:t>Unit Gate: единицы и условия сопоставимы; преобразования проверены.</w:t>
      </w:r>
    </w:p>
    <w:p>
      <w:pPr>
        <w:spacing w:after="80"/>
        <w:ind w:left="340" w:hanging="340"/>
      </w:pPr>
      <w:r>
        <w:rPr>
          <w:b/>
          <w:color w:val="0B7A75"/>
        </w:rPr>
        <w:t xml:space="preserve">3. </w:t>
      </w:r>
      <w:r>
        <w:t>Domain Gate: кандидат находится внутри или около объявленной области применимости.</w:t>
      </w:r>
    </w:p>
    <w:p>
      <w:pPr>
        <w:spacing w:after="80"/>
        <w:ind w:left="340" w:hanging="340"/>
      </w:pPr>
      <w:r>
        <w:rPr>
          <w:b/>
          <w:color w:val="0B7A75"/>
        </w:rPr>
        <w:t xml:space="preserve">4. </w:t>
      </w:r>
      <w:r>
        <w:t>Uncertainty Gate: интервал прогноза совместим с целевым диапазоном и порогом решения.</w:t>
      </w:r>
    </w:p>
    <w:p>
      <w:pPr>
        <w:spacing w:after="80"/>
        <w:ind w:left="340" w:hanging="340"/>
      </w:pPr>
      <w:r>
        <w:rPr>
          <w:b/>
          <w:color w:val="0B7A75"/>
        </w:rPr>
        <w:t xml:space="preserve">5. </w:t>
      </w:r>
      <w:r>
        <w:t>Baseline Gate: улучшение относительно базовой линии измерено на корректном разделении.</w:t>
      </w:r>
    </w:p>
    <w:p>
      <w:pPr>
        <w:spacing w:after="80"/>
        <w:ind w:left="340" w:hanging="340"/>
      </w:pPr>
      <w:r>
        <w:rPr>
          <w:b/>
          <w:color w:val="0B7A75"/>
        </w:rPr>
        <w:t xml:space="preserve">6. </w:t>
      </w:r>
      <w:r>
        <w:t>Leakage Gate: отсутствует утечка между обучением, подбором и испытанием.</w:t>
      </w:r>
    </w:p>
    <w:p>
      <w:pPr>
        <w:spacing w:after="80"/>
        <w:ind w:left="340" w:hanging="340"/>
      </w:pPr>
      <w:r>
        <w:rPr>
          <w:b/>
          <w:color w:val="0B7A75"/>
        </w:rPr>
        <w:t xml:space="preserve">7. </w:t>
      </w:r>
      <w:r>
        <w:t>Synthesis Gate: маршрут имеет опорные источники либо явно маркирован как гипотеза.</w:t>
      </w:r>
    </w:p>
    <w:p>
      <w:pPr>
        <w:spacing w:after="80"/>
        <w:ind w:left="340" w:hanging="340"/>
      </w:pPr>
      <w:r>
        <w:rPr>
          <w:b/>
          <w:color w:val="0B7A75"/>
        </w:rPr>
        <w:t xml:space="preserve">8. </w:t>
      </w:r>
      <w:r>
        <w:t>Reproducibility Gate: вход, версии, хеши и seed достаточны для повторения.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940000" cy="3179126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06_evidence_ladder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1791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Рисунок 6. Лестница доказательности.</w:t>
      </w:r>
    </w:p>
    <w:p>
      <w:pPr>
        <w:pStyle w:val="Heading2"/>
      </w:pPr>
      <w:r>
        <w:t>9.3. Калибровка неопределённости</w:t>
      </w:r>
    </w:p>
    <w:p>
      <w:r>
        <w:t>Предпочтителен ансамбль источников неопределённости: разброс моделей, ошибки измерений, вариативность образцов, расстояние до области обучения и несовпадение условий. Интервалы проверяются на калибровочном наборе. Если покрытие хуже предзаданного допуска, модель не допускается к автоматическому ранжированию.</w:t>
      </w:r>
    </w:p>
    <w:p>
      <w:pPr>
        <w:pStyle w:val="Heading1"/>
      </w:pPr>
      <w:r>
        <w:t>10. Программная архитектура и режимы эксплуатации</w:t>
      </w:r>
    </w:p>
    <w:p>
      <w:pPr>
        <w:pStyle w:val="Heading2"/>
      </w:pPr>
      <w:r>
        <w:t>10.1. Компоненты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rPr>
          <w:tblHeader w:val="true"/>
        </w:trPr>
        <w:tc>
          <w:tcPr>
            <w:tcW w:type="dxa" w:w="1814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Компонент</w:t>
            </w:r>
          </w:p>
        </w:tc>
        <w:tc>
          <w:tcPr>
            <w:tcW w:type="dxa" w:w="3175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Рекомендуемая реализация</w:t>
            </w:r>
          </w:p>
        </w:tc>
        <w:tc>
          <w:tcPr>
            <w:tcW w:type="dxa" w:w="4365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Ответственность</w:t>
            </w:r>
          </w:p>
        </w:tc>
      </w:tr>
      <w:tr>
        <w:tc>
          <w:tcPr>
            <w:tcW w:type="dxa" w:w="181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Core</w:t>
            </w:r>
          </w:p>
        </w:tc>
        <w:tc>
          <w:tcPr>
            <w:tcW w:type="dxa" w:w="317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Python package</w:t>
            </w:r>
          </w:p>
        </w:tc>
        <w:tc>
          <w:tcPr>
            <w:tcW w:type="dxa" w:w="436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типы, нормализация, граф, алгоритмы, сертификат</w:t>
            </w:r>
          </w:p>
        </w:tc>
      </w:tr>
      <w:tr>
        <w:tc>
          <w:tcPr>
            <w:tcW w:type="dxa" w:w="181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Database</w:t>
            </w:r>
          </w:p>
        </w:tc>
        <w:tc>
          <w:tcPr>
            <w:tcW w:type="dxa" w:w="317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SQLite локально / PostgreSQL сервер</w:t>
            </w:r>
          </w:p>
        </w:tc>
        <w:tc>
          <w:tcPr>
            <w:tcW w:type="dxa" w:w="436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данные, версии, транзакции, индексы</w:t>
            </w:r>
          </w:p>
        </w:tc>
      </w:tr>
      <w:tr>
        <w:tc>
          <w:tcPr>
            <w:tcW w:type="dxa" w:w="181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API</w:t>
            </w:r>
          </w:p>
        </w:tc>
        <w:tc>
          <w:tcPr>
            <w:tcW w:type="dxa" w:w="317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REST/JSON + пакетный CLI</w:t>
            </w:r>
          </w:p>
        </w:tc>
        <w:tc>
          <w:tcPr>
            <w:tcW w:type="dxa" w:w="436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единый контракт сетевого и автономного режима</w:t>
            </w:r>
          </w:p>
        </w:tc>
      </w:tr>
      <w:tr>
        <w:tc>
          <w:tcPr>
            <w:tcW w:type="dxa" w:w="181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Workers</w:t>
            </w:r>
          </w:p>
        </w:tc>
        <w:tc>
          <w:tcPr>
            <w:tcW w:type="dxa" w:w="317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очередь задач</w:t>
            </w:r>
          </w:p>
        </w:tc>
        <w:tc>
          <w:tcPr>
            <w:tcW w:type="dxa" w:w="436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долгие расчёты, отмена, повтор, лимиты</w:t>
            </w:r>
          </w:p>
        </w:tc>
      </w:tr>
      <w:tr>
        <w:tc>
          <w:tcPr>
            <w:tcW w:type="dxa" w:w="181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Web UI</w:t>
            </w:r>
          </w:p>
        </w:tc>
        <w:tc>
          <w:tcPr>
            <w:tcW w:type="dxa" w:w="317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адаптивный интерфейс</w:t>
            </w:r>
          </w:p>
        </w:tc>
        <w:tc>
          <w:tcPr>
            <w:tcW w:type="dxa" w:w="436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TargetSpec, графы, сравнение, отчёты</w:t>
            </w:r>
          </w:p>
        </w:tc>
      </w:tr>
      <w:tr>
        <w:tc>
          <w:tcPr>
            <w:tcW w:type="dxa" w:w="181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Offline UI</w:t>
            </w:r>
          </w:p>
        </w:tc>
        <w:tc>
          <w:tcPr>
            <w:tcW w:type="dxa" w:w="317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Flutter/desktop shell</w:t>
            </w:r>
          </w:p>
        </w:tc>
        <w:tc>
          <w:tcPr>
            <w:tcW w:type="dxa" w:w="436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локальные корпуса, приватный расчёт</w:t>
            </w:r>
          </w:p>
        </w:tc>
      </w:tr>
      <w:tr>
        <w:tc>
          <w:tcPr>
            <w:tcW w:type="dxa" w:w="181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Model Registry</w:t>
            </w:r>
          </w:p>
        </w:tc>
        <w:tc>
          <w:tcPr>
            <w:tcW w:type="dxa" w:w="317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файлы + manifest</w:t>
            </w:r>
          </w:p>
        </w:tc>
        <w:tc>
          <w:tcPr>
            <w:tcW w:type="dxa" w:w="436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версии, метрики, область, подписи</w:t>
            </w:r>
          </w:p>
        </w:tc>
      </w:tr>
      <w:tr>
        <w:tc>
          <w:tcPr>
            <w:tcW w:type="dxa" w:w="181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Report Engine</w:t>
            </w:r>
          </w:p>
        </w:tc>
        <w:tc>
          <w:tcPr>
            <w:tcW w:type="dxa" w:w="317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DOCX/PDF/JSON</w:t>
            </w:r>
          </w:p>
        </w:tc>
        <w:tc>
          <w:tcPr>
            <w:tcW w:type="dxa" w:w="436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человекочитаемый отчёт и certificate.json</w:t>
            </w:r>
          </w:p>
        </w:tc>
      </w:tr>
    </w:tbl>
    <w:p>
      <w:pPr>
        <w:spacing w:after="0"/>
      </w:pPr>
    </w:p>
    <w:p>
      <w:pPr>
        <w:pStyle w:val="Heading2"/>
      </w:pPr>
      <w:r>
        <w:t>10.2. Сетевой режим</w:t>
      </w:r>
    </w:p>
    <w:p>
      <w:r>
        <w:t>Сетевой сервис предоставляет актуальные модели, централизованный корпус и тяжёлые вычисления. Пользователь видит очередь, оценку ресурсов, источники и статус обработки. Загруженные данные изолируются по проектам; публикация в общий корпус требует отдельного решения и лицензионной проверки.</w:t>
      </w:r>
    </w:p>
    <w:p>
      <w:pPr>
        <w:pStyle w:val="Heading2"/>
      </w:pPr>
      <w:r>
        <w:t>10.3. Автономный режим</w:t>
      </w:r>
    </w:p>
    <w:p>
      <w:r>
        <w:t>Автономная сборка использует локальную SQLite‑базу, компактные модели и те же JSON‑контракты. Она обязана выдавать сопоставимые статусы и сертификаты, даже если глубина поиска ниже. Синхронизация выполняется пакетами с манифестом и конфликт‑политикой; отсутствие сети не должно приводить к скрытой подмене версии данных.</w:t>
      </w:r>
    </w:p>
    <w:p>
      <w:pPr>
        <w:pStyle w:val="Heading2"/>
      </w:pPr>
      <w:r>
        <w:t>10.4. Профили исполнения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rPr>
          <w:tblHeader w:val="true"/>
        </w:trPr>
        <w:tc>
          <w:tcPr>
            <w:tcW w:type="dxa" w:w="1757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Профиль</w:t>
            </w:r>
          </w:p>
        </w:tc>
        <w:tc>
          <w:tcPr>
            <w:tcW w:type="dxa" w:w="4139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Назначение</w:t>
            </w:r>
          </w:p>
        </w:tc>
        <w:tc>
          <w:tcPr>
            <w:tcW w:type="dxa" w:w="3458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Ограничения</w:t>
            </w:r>
          </w:p>
        </w:tc>
      </w:tr>
      <w:tr>
        <w:tc>
          <w:tcPr>
            <w:tcW w:type="dxa" w:w="175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EXPLORE</w:t>
            </w:r>
          </w:p>
        </w:tc>
        <w:tc>
          <w:tcPr>
            <w:tcW w:type="dxa" w:w="4139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интерактивное исследование пространства</w:t>
            </w:r>
          </w:p>
        </w:tc>
        <w:tc>
          <w:tcPr>
            <w:tcW w:type="dxa" w:w="345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результаты не считаются слепой проверкой</w:t>
            </w:r>
          </w:p>
        </w:tc>
      </w:tr>
      <w:tr>
        <w:tc>
          <w:tcPr>
            <w:tcW w:type="dxa" w:w="175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REPRODUCE</w:t>
            </w:r>
          </w:p>
        </w:tc>
        <w:tc>
          <w:tcPr>
            <w:tcW w:type="dxa" w:w="4139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повтор известного запуска</w:t>
            </w:r>
          </w:p>
        </w:tc>
        <w:tc>
          <w:tcPr>
            <w:tcW w:type="dxa" w:w="345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никакого подбора параметров</w:t>
            </w:r>
          </w:p>
        </w:tc>
      </w:tr>
      <w:tr>
        <w:tc>
          <w:tcPr>
            <w:tcW w:type="dxa" w:w="175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SEALED</w:t>
            </w:r>
          </w:p>
        </w:tc>
        <w:tc>
          <w:tcPr>
            <w:tcW w:type="dxa" w:w="4139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предрегистрационный скрытый канал</w:t>
            </w:r>
          </w:p>
        </w:tc>
        <w:tc>
          <w:tcPr>
            <w:tcW w:type="dxa" w:w="345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одноразовое раскрытие и аудит</w:t>
            </w:r>
          </w:p>
        </w:tc>
      </w:tr>
      <w:tr>
        <w:tc>
          <w:tcPr>
            <w:tcW w:type="dxa" w:w="175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OFFLINE</w:t>
            </w:r>
          </w:p>
        </w:tc>
        <w:tc>
          <w:tcPr>
            <w:tcW w:type="dxa" w:w="4139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локальная работа с фиксированным пакетом</w:t>
            </w:r>
          </w:p>
        </w:tc>
        <w:tc>
          <w:tcPr>
            <w:tcW w:type="dxa" w:w="345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отчёт указывает дату/версию корпуса</w:t>
            </w:r>
          </w:p>
        </w:tc>
      </w:tr>
    </w:tbl>
    <w:p>
      <w:pPr>
        <w:spacing w:after="0"/>
      </w:pPr>
    </w:p>
    <w:p>
      <w:pPr>
        <w:pStyle w:val="Heading1"/>
      </w:pPr>
      <w:r>
        <w:t>11. Пользовательские сценарии и возможности</w:t>
      </w:r>
    </w:p>
    <w:p>
      <w:pPr>
        <w:pStyle w:val="Heading2"/>
      </w:pPr>
      <w:r>
        <w:t>11.1. Основные сценарии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rPr>
          <w:tblHeader w:val="true"/>
        </w:trPr>
        <w:tc>
          <w:tcPr>
            <w:tcW w:type="dxa" w:w="2268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Сценарий</w:t>
            </w:r>
          </w:p>
        </w:tc>
        <w:tc>
          <w:tcPr>
            <w:tcW w:type="dxa" w:w="3288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Вход</w:t>
            </w:r>
          </w:p>
        </w:tc>
        <w:tc>
          <w:tcPr>
            <w:tcW w:type="dxa" w:w="3798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Результат</w:t>
            </w:r>
          </w:p>
        </w:tc>
      </w:tr>
      <w:tr>
        <w:tc>
          <w:tcPr>
            <w:tcW w:type="dxa" w:w="226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Подбор материала</w:t>
            </w:r>
          </w:p>
        </w:tc>
        <w:tc>
          <w:tcPr>
            <w:tcW w:type="dxa" w:w="328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целевой профиль и ограничения</w:t>
            </w:r>
          </w:p>
        </w:tc>
        <w:tc>
          <w:tcPr>
            <w:tcW w:type="dxa" w:w="379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Pareto‑список кандидатов с основаниями</w:t>
            </w:r>
          </w:p>
        </w:tc>
      </w:tr>
      <w:tr>
        <w:tc>
          <w:tcPr>
            <w:tcW w:type="dxa" w:w="226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Замена дефицитного элемента</w:t>
            </w:r>
          </w:p>
        </w:tc>
        <w:tc>
          <w:tcPr>
            <w:tcW w:type="dxa" w:w="328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исходный материал + запрет</w:t>
            </w:r>
          </w:p>
        </w:tc>
        <w:tc>
          <w:tcPr>
            <w:tcW w:type="dxa" w:w="379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варианты замещения и ожидаемый компромисс</w:t>
            </w:r>
          </w:p>
        </w:tc>
      </w:tr>
      <w:tr>
        <w:tc>
          <w:tcPr>
            <w:tcW w:type="dxa" w:w="226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Оптимизация процесса</w:t>
            </w:r>
          </w:p>
        </w:tc>
        <w:tc>
          <w:tcPr>
            <w:tcW w:type="dxa" w:w="328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кандидат + диапазоны параметров</w:t>
            </w:r>
          </w:p>
        </w:tc>
        <w:tc>
          <w:tcPr>
            <w:tcW w:type="dxa" w:w="379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план экспериментов и чувствительность</w:t>
            </w:r>
          </w:p>
        </w:tc>
      </w:tr>
      <w:tr>
        <w:tc>
          <w:tcPr>
            <w:tcW w:type="dxa" w:w="226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Аудит литературного кандидата</w:t>
            </w:r>
          </w:p>
        </w:tc>
        <w:tc>
          <w:tcPr>
            <w:tcW w:type="dxa" w:w="328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структура/статья/данные</w:t>
            </w:r>
          </w:p>
        </w:tc>
        <w:tc>
          <w:tcPr>
            <w:tcW w:type="dxa" w:w="379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карта доказательств, конфликтов и пробелов</w:t>
            </w:r>
          </w:p>
        </w:tc>
      </w:tr>
      <w:tr>
        <w:tc>
          <w:tcPr>
            <w:tcW w:type="dxa" w:w="226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Планирование синтеза</w:t>
            </w:r>
          </w:p>
        </w:tc>
        <w:tc>
          <w:tcPr>
            <w:tcW w:type="dxa" w:w="328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целевая фаза + доступные прекурсоры</w:t>
            </w:r>
          </w:p>
        </w:tc>
        <w:tc>
          <w:tcPr>
            <w:tcW w:type="dxa" w:w="379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альтернативные маршруты и blockers</w:t>
            </w:r>
          </w:p>
        </w:tc>
      </w:tr>
      <w:tr>
        <w:tc>
          <w:tcPr>
            <w:tcW w:type="dxa" w:w="226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Сравнение моделей</w:t>
            </w:r>
          </w:p>
        </w:tc>
        <w:tc>
          <w:tcPr>
            <w:tcW w:type="dxa" w:w="328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фиксированный корпус и split</w:t>
            </w:r>
          </w:p>
        </w:tc>
        <w:tc>
          <w:tcPr>
            <w:tcW w:type="dxa" w:w="379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метрики baseline/KLT/ensemble</w:t>
            </w:r>
          </w:p>
        </w:tc>
      </w:tr>
      <w:tr>
        <w:tc>
          <w:tcPr>
            <w:tcW w:type="dxa" w:w="226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Слепая проверка</w:t>
            </w:r>
          </w:p>
        </w:tc>
        <w:tc>
          <w:tcPr>
            <w:tcW w:type="dxa" w:w="328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предрегистрация + скрытый канал</w:t>
            </w:r>
          </w:p>
        </w:tc>
        <w:tc>
          <w:tcPr>
            <w:tcW w:type="dxa" w:w="379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одноразовый сертификат результата</w:t>
            </w:r>
          </w:p>
        </w:tc>
      </w:tr>
    </w:tbl>
    <w:p>
      <w:pPr>
        <w:spacing w:after="0"/>
      </w:pPr>
    </w:p>
    <w:p>
      <w:pPr>
        <w:pStyle w:val="Heading2"/>
      </w:pPr>
      <w:r>
        <w:t>11.2. Представление результата</w:t>
      </w:r>
    </w:p>
    <w:p>
      <w:pPr>
        <w:pStyle w:val="ListBullet"/>
        <w:spacing w:after="60"/>
        <w:ind w:left="255" w:hanging="113"/>
      </w:pPr>
      <w:r>
        <w:t>карточка кандидата: состав, фаза, структура, свойства и условия;</w:t>
      </w:r>
    </w:p>
    <w:p>
      <w:pPr>
        <w:pStyle w:val="ListBullet"/>
        <w:spacing w:after="60"/>
        <w:ind w:left="255" w:hanging="113"/>
      </w:pPr>
      <w:r>
        <w:t>граф оснований: какие источники и аналоги повлияли на вывод;</w:t>
      </w:r>
    </w:p>
    <w:p>
      <w:pPr>
        <w:pStyle w:val="ListBullet"/>
        <w:spacing w:after="60"/>
        <w:ind w:left="255" w:hanging="113"/>
      </w:pPr>
      <w:r>
        <w:t>интервалы и область применимости для каждого предсказания;</w:t>
      </w:r>
    </w:p>
    <w:p>
      <w:pPr>
        <w:pStyle w:val="ListBullet"/>
        <w:spacing w:after="60"/>
        <w:ind w:left="255" w:hanging="113"/>
      </w:pPr>
      <w:r>
        <w:t>Pareto‑диаграмма и анализ чувствительности весов;</w:t>
      </w:r>
    </w:p>
    <w:p>
      <w:pPr>
        <w:pStyle w:val="ListBullet"/>
        <w:spacing w:after="60"/>
        <w:ind w:left="255" w:hanging="113"/>
      </w:pPr>
      <w:r>
        <w:t>маршруты получения с критическими параметрами и альтернативами;</w:t>
      </w:r>
    </w:p>
    <w:p>
      <w:pPr>
        <w:pStyle w:val="ListBullet"/>
        <w:spacing w:after="60"/>
        <w:ind w:left="255" w:hanging="113"/>
      </w:pPr>
      <w:r>
        <w:t>реестр OPEN/BLOCKER и минимальный следующий эксперимент;</w:t>
      </w:r>
    </w:p>
    <w:p>
      <w:pPr>
        <w:pStyle w:val="ListBullet"/>
        <w:spacing w:after="60"/>
        <w:ind w:left="255" w:hanging="113"/>
      </w:pPr>
      <w:r>
        <w:t>экспорт DOCX/PDF для исследователя, CSV для анализа и JSON для воспроизведения.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940000" cy="3179126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07_interfac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1791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Рисунок 7. Макет рабочего экрана.</w:t>
      </w:r>
    </w:p>
    <w:p>
      <w:pPr>
        <w:pStyle w:val="Heading1"/>
      </w:pPr>
      <w:r>
        <w:t>12. Воспроизводимость, безопасность и управление данными</w:t>
      </w:r>
    </w:p>
    <w:p>
      <w:pPr>
        <w:pStyle w:val="Heading2"/>
      </w:pPr>
      <w:r>
        <w:t>12.1. Пакет воспроизведения</w:t>
      </w:r>
    </w:p>
    <w:p>
      <w:r>
        <w:t>Каждый существенный запуск создаёт каталог с target_spec.json, run_manifest.json, corpus_manifest.json, model_manifest.json, predictions.parquet/csv, routes.json, certificate.json, report.docx/pdf и tests.log. Манифесты содержат SHA‑256 контрольные суммы, версии схем и программного окружения.</w:t>
      </w:r>
    </w:p>
    <w:p>
      <w:pPr>
        <w:pStyle w:val="Heading2"/>
      </w:pPr>
      <w:r>
        <w:t>12.2. Управление происхождением</w:t>
      </w:r>
    </w:p>
    <w:p>
      <w:pPr>
        <w:pStyle w:val="ListBullet"/>
        <w:spacing w:after="60"/>
        <w:ind w:left="255" w:hanging="113"/>
      </w:pPr>
      <w:r>
        <w:t>источник и лицензия фиксируются до включения записи в обучающий корпус;</w:t>
      </w:r>
    </w:p>
    <w:p>
      <w:pPr>
        <w:pStyle w:val="ListBullet"/>
        <w:spacing w:after="60"/>
        <w:ind w:left="255" w:hanging="113"/>
      </w:pPr>
      <w:r>
        <w:t>исправления выполняются add‑only либо через версионированную запись замены;</w:t>
      </w:r>
    </w:p>
    <w:p>
      <w:pPr>
        <w:pStyle w:val="ListBullet"/>
        <w:spacing w:after="60"/>
        <w:ind w:left="255" w:hanging="113"/>
      </w:pPr>
      <w:r>
        <w:t>удаление недостоверной записи не стирает факт её прежнего использования в запуске;</w:t>
      </w:r>
    </w:p>
    <w:p>
      <w:pPr>
        <w:pStyle w:val="ListBullet"/>
        <w:spacing w:after="60"/>
        <w:ind w:left="255" w:hanging="113"/>
      </w:pPr>
      <w:r>
        <w:t>ручные решения эксперта подписываются ролью, датой и причиной;</w:t>
      </w:r>
    </w:p>
    <w:p>
      <w:pPr>
        <w:pStyle w:val="ListBullet"/>
        <w:spacing w:after="60"/>
        <w:ind w:left="255" w:hanging="113"/>
      </w:pPr>
      <w:r>
        <w:t>секреты, персональные и коммерческие данные не входят в отчёт и хешируются/шифруются по политике проекта.</w:t>
      </w:r>
    </w:p>
    <w:p>
      <w:pPr>
        <w:pStyle w:val="Heading2"/>
      </w:pPr>
      <w:r>
        <w:t>12.3. Тесты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rPr>
          <w:tblHeader w:val="true"/>
        </w:trPr>
        <w:tc>
          <w:tcPr>
            <w:tcW w:type="dxa" w:w="1814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Класс тестов</w:t>
            </w:r>
          </w:p>
        </w:tc>
        <w:tc>
          <w:tcPr>
            <w:tcW w:type="dxa" w:w="4195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Что проверяется</w:t>
            </w:r>
          </w:p>
        </w:tc>
        <w:tc>
          <w:tcPr>
            <w:tcW w:type="dxa" w:w="3458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Критерий</w:t>
            </w:r>
          </w:p>
        </w:tc>
      </w:tr>
      <w:tr>
        <w:tc>
          <w:tcPr>
            <w:tcW w:type="dxa" w:w="181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Unit</w:t>
            </w:r>
          </w:p>
        </w:tc>
        <w:tc>
          <w:tcPr>
            <w:tcW w:type="dxa" w:w="419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парсеры, единицы, графовые операции</w:t>
            </w:r>
          </w:p>
        </w:tc>
        <w:tc>
          <w:tcPr>
            <w:tcW w:type="dxa" w:w="345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точные ожидаемые значения</w:t>
            </w:r>
          </w:p>
        </w:tc>
      </w:tr>
      <w:tr>
        <w:tc>
          <w:tcPr>
            <w:tcW w:type="dxa" w:w="181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Property</w:t>
            </w:r>
          </w:p>
        </w:tc>
        <w:tc>
          <w:tcPr>
            <w:tcW w:type="dxa" w:w="419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инварианты схемы и преобразований</w:t>
            </w:r>
          </w:p>
        </w:tc>
        <w:tc>
          <w:tcPr>
            <w:tcW w:type="dxa" w:w="345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нет нарушения типов и размерностей</w:t>
            </w:r>
          </w:p>
        </w:tc>
      </w:tr>
      <w:tr>
        <w:tc>
          <w:tcPr>
            <w:tcW w:type="dxa" w:w="181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Golden</w:t>
            </w:r>
          </w:p>
        </w:tc>
        <w:tc>
          <w:tcPr>
            <w:tcW w:type="dxa" w:w="419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эталонные маленькие корпуса</w:t>
            </w:r>
          </w:p>
        </w:tc>
        <w:tc>
          <w:tcPr>
            <w:tcW w:type="dxa" w:w="345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совпадение сертифицированного выхода</w:t>
            </w:r>
          </w:p>
        </w:tc>
      </w:tr>
      <w:tr>
        <w:tc>
          <w:tcPr>
            <w:tcW w:type="dxa" w:w="181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Integration</w:t>
            </w:r>
          </w:p>
        </w:tc>
        <w:tc>
          <w:tcPr>
            <w:tcW w:type="dxa" w:w="419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API, DB, модели, отчёт</w:t>
            </w:r>
          </w:p>
        </w:tc>
        <w:tc>
          <w:tcPr>
            <w:tcW w:type="dxa" w:w="345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полный воспроизводимый запуск</w:t>
            </w:r>
          </w:p>
        </w:tc>
      </w:tr>
      <w:tr>
        <w:tc>
          <w:tcPr>
            <w:tcW w:type="dxa" w:w="181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Scientific</w:t>
            </w:r>
          </w:p>
        </w:tc>
        <w:tc>
          <w:tcPr>
            <w:tcW w:type="dxa" w:w="419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split, baseline, калибровка</w:t>
            </w:r>
          </w:p>
        </w:tc>
        <w:tc>
          <w:tcPr>
            <w:tcW w:type="dxa" w:w="345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предзаданные метрики и пороги</w:t>
            </w:r>
          </w:p>
        </w:tc>
      </w:tr>
      <w:tr>
        <w:tc>
          <w:tcPr>
            <w:tcW w:type="dxa" w:w="181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Adversarial</w:t>
            </w:r>
          </w:p>
        </w:tc>
        <w:tc>
          <w:tcPr>
            <w:tcW w:type="dxa" w:w="419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неполный/противоречивый вход</w:t>
            </w:r>
          </w:p>
        </w:tc>
        <w:tc>
          <w:tcPr>
            <w:tcW w:type="dxa" w:w="345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корректный ABSTAIN/BLOCKED</w:t>
            </w:r>
          </w:p>
        </w:tc>
      </w:tr>
      <w:tr>
        <w:tc>
          <w:tcPr>
            <w:tcW w:type="dxa" w:w="181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Security</w:t>
            </w:r>
          </w:p>
        </w:tc>
        <w:tc>
          <w:tcPr>
            <w:tcW w:type="dxa" w:w="419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доступ, загрузки, архивы</w:t>
            </w:r>
          </w:p>
        </w:tc>
        <w:tc>
          <w:tcPr>
            <w:tcW w:type="dxa" w:w="345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изоляция и отсутствие утечек</w:t>
            </w:r>
          </w:p>
        </w:tc>
      </w:tr>
    </w:tbl>
    <w:p>
      <w:pPr>
        <w:spacing w:after="0"/>
      </w:pPr>
    </w:p>
    <w:p>
      <w:pPr>
        <w:pStyle w:val="Heading1"/>
      </w:pPr>
      <w:r>
        <w:t>13. Дорожная карта разработки и научной проверки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rPr>
          <w:tblHeader w:val="true"/>
        </w:trPr>
        <w:tc>
          <w:tcPr>
            <w:tcW w:type="dxa" w:w="1587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4"/>
              </w:rPr>
              <w:t>Этап</w:t>
            </w:r>
          </w:p>
        </w:tc>
        <w:tc>
          <w:tcPr>
            <w:tcW w:type="dxa" w:w="1701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4"/>
              </w:rPr>
              <w:t>Горизонт от старта</w:t>
            </w:r>
          </w:p>
        </w:tc>
        <w:tc>
          <w:tcPr>
            <w:tcW w:type="dxa" w:w="4025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4"/>
              </w:rPr>
              <w:t>Основной результат</w:t>
            </w:r>
          </w:p>
        </w:tc>
        <w:tc>
          <w:tcPr>
            <w:tcW w:type="dxa" w:w="2381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4"/>
              </w:rPr>
              <w:t>Ворота выхода</w:t>
            </w:r>
          </w:p>
        </w:tc>
      </w:tr>
      <w:tr>
        <w:tc>
          <w:tcPr>
            <w:tcW w:type="dxa" w:w="158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M0. Контракт</w:t>
            </w:r>
          </w:p>
        </w:tc>
        <w:tc>
          <w:tcPr>
            <w:tcW w:type="dxa" w:w="170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0–2 месяца</w:t>
            </w:r>
          </w:p>
        </w:tc>
        <w:tc>
          <w:tcPr>
            <w:tcW w:type="dxa" w:w="402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схемы TargetSpec/ChemGraph/Certificate, набор эталонов</w:t>
            </w:r>
          </w:p>
        </w:tc>
        <w:tc>
          <w:tcPr>
            <w:tcW w:type="dxa" w:w="238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schema tests; status firewall</w:t>
            </w:r>
          </w:p>
        </w:tc>
      </w:tr>
      <w:tr>
        <w:tc>
          <w:tcPr>
            <w:tcW w:type="dxa" w:w="158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M1. Прототип</w:t>
            </w:r>
          </w:p>
        </w:tc>
        <w:tc>
          <w:tcPr>
            <w:tcW w:type="dxa" w:w="170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2–4 месяца</w:t>
            </w:r>
          </w:p>
        </w:tc>
        <w:tc>
          <w:tcPr>
            <w:tcW w:type="dxa" w:w="402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Python/SQLite, CLI, импорт, поиск аналогов</w:t>
            </w:r>
          </w:p>
        </w:tc>
        <w:tc>
          <w:tcPr>
            <w:tcW w:type="dxa" w:w="238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воспроизводимый golden run</w:t>
            </w:r>
          </w:p>
        </w:tc>
      </w:tr>
      <w:tr>
        <w:tc>
          <w:tcPr>
            <w:tcW w:type="dxa" w:w="158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M2. Модели</w:t>
            </w:r>
          </w:p>
        </w:tc>
        <w:tc>
          <w:tcPr>
            <w:tcW w:type="dxa" w:w="170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4–7 месяцев</w:t>
            </w:r>
          </w:p>
        </w:tc>
        <w:tc>
          <w:tcPr>
            <w:tcW w:type="dxa" w:w="402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baseline‑модели, uncertainty, Pareto</w:t>
            </w:r>
          </w:p>
        </w:tc>
        <w:tc>
          <w:tcPr>
            <w:tcW w:type="dxa" w:w="238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временной split; калибровка</w:t>
            </w:r>
          </w:p>
        </w:tc>
      </w:tr>
      <w:tr>
        <w:tc>
          <w:tcPr>
            <w:tcW w:type="dxa" w:w="158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M3. KLT‑сравнение</w:t>
            </w:r>
          </w:p>
        </w:tc>
        <w:tc>
          <w:tcPr>
            <w:tcW w:type="dxa" w:w="170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7–10 месяцев</w:t>
            </w:r>
          </w:p>
        </w:tc>
        <w:tc>
          <w:tcPr>
            <w:tcW w:type="dxa" w:w="402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абляция KLT‑признаков и реперных пакетов</w:t>
            </w:r>
          </w:p>
        </w:tc>
        <w:tc>
          <w:tcPr>
            <w:tcW w:type="dxa" w:w="238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предзаданный эффект против baseline</w:t>
            </w:r>
          </w:p>
        </w:tc>
      </w:tr>
      <w:tr>
        <w:tc>
          <w:tcPr>
            <w:tcW w:type="dxa" w:w="158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M4. Слепой контур</w:t>
            </w:r>
          </w:p>
        </w:tc>
        <w:tc>
          <w:tcPr>
            <w:tcW w:type="dxa" w:w="170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10–14 месяцев</w:t>
            </w:r>
          </w:p>
        </w:tc>
        <w:tc>
          <w:tcPr>
            <w:tcW w:type="dxa" w:w="402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sealed hidden‑channel run</w:t>
            </w:r>
          </w:p>
        </w:tc>
        <w:tc>
          <w:tcPr>
            <w:tcW w:type="dxa" w:w="238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предрегистрация; one‑shot reveal</w:t>
            </w:r>
          </w:p>
        </w:tc>
      </w:tr>
      <w:tr>
        <w:tc>
          <w:tcPr>
            <w:tcW w:type="dxa" w:w="158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M5. EXT‑RUN</w:t>
            </w:r>
          </w:p>
        </w:tc>
        <w:tc>
          <w:tcPr>
            <w:tcW w:type="dxa" w:w="170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14–18 месяцев</w:t>
            </w:r>
          </w:p>
        </w:tc>
        <w:tc>
          <w:tcPr>
            <w:tcW w:type="dxa" w:w="402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независимая сборка корпуса и расчёт</w:t>
            </w:r>
          </w:p>
        </w:tc>
        <w:tc>
          <w:tcPr>
            <w:tcW w:type="dxa" w:w="238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внешний отчёт и несовпадения</w:t>
            </w:r>
          </w:p>
        </w:tc>
      </w:tr>
      <w:tr>
        <w:tc>
          <w:tcPr>
            <w:tcW w:type="dxa" w:w="158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M6. Эксперимент</w:t>
            </w:r>
          </w:p>
        </w:tc>
        <w:tc>
          <w:tcPr>
            <w:tcW w:type="dxa" w:w="170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18–24 месяца</w:t>
            </w:r>
          </w:p>
        </w:tc>
        <w:tc>
          <w:tcPr>
            <w:tcW w:type="dxa" w:w="402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малый пилот синтеза верхних кандидатов</w:t>
            </w:r>
          </w:p>
        </w:tc>
        <w:tc>
          <w:tcPr>
            <w:tcW w:type="dxa" w:w="238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протокол, образцы, измерения</w:t>
            </w:r>
          </w:p>
        </w:tc>
      </w:tr>
      <w:tr>
        <w:tc>
          <w:tcPr>
            <w:tcW w:type="dxa" w:w="158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M7. Продукт</w:t>
            </w:r>
          </w:p>
        </w:tc>
        <w:tc>
          <w:tcPr>
            <w:tcW w:type="dxa" w:w="170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после M5/M6</w:t>
            </w:r>
          </w:p>
        </w:tc>
        <w:tc>
          <w:tcPr>
            <w:tcW w:type="dxa" w:w="402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сетевой и автономный релиз</w:t>
            </w:r>
          </w:p>
        </w:tc>
        <w:tc>
          <w:tcPr>
            <w:tcW w:type="dxa" w:w="238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операционная безопасность и SLA</w:t>
            </w:r>
          </w:p>
        </w:tc>
      </w:tr>
    </w:tbl>
    <w:p>
      <w:pPr>
        <w:spacing w:after="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940000" cy="3222393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08_roadmap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2223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Рисунок 8. Дорожная карта M0–M7.</w:t>
      </w:r>
    </w:p>
    <w:p>
      <w:pPr>
        <w:pStyle w:val="Heading2"/>
      </w:pPr>
      <w:r>
        <w:t>13.1. Первый проверяемый корпус</w:t>
      </w:r>
    </w:p>
    <w:p>
      <w:r>
        <w:t>Для первого цикла рекомендуется выбрать один однородный класс неорганических функциональных материалов с достаточным числом сопоставимых структур, единообразными условиями свойства и доступными отрицательными примерами. Конкретный класс закрепляется отдельной предрегистрацией после аудита покрытия, лицензий и риска утечки.</w:t>
      </w:r>
    </w:p>
    <w:p>
      <w:pPr>
        <w:pStyle w:val="Heading2"/>
      </w:pPr>
      <w:r>
        <w:t>13.2. Публикационные продукты</w:t>
      </w:r>
    </w:p>
    <w:p>
      <w:pPr>
        <w:pStyle w:val="ListBullet"/>
        <w:spacing w:after="60"/>
        <w:ind w:left="255" w:hanging="113"/>
      </w:pPr>
      <w:r>
        <w:t>методическая статья: формализм, доказательные статусы и архитектура;</w:t>
      </w:r>
    </w:p>
    <w:p>
      <w:pPr>
        <w:pStyle w:val="ListBullet"/>
        <w:spacing w:after="60"/>
        <w:ind w:left="255" w:hanging="113"/>
      </w:pPr>
      <w:r>
        <w:t>data descriptor: корпус, схема, качество и ограничения;</w:t>
      </w:r>
    </w:p>
    <w:p>
      <w:pPr>
        <w:pStyle w:val="ListBullet"/>
        <w:spacing w:after="60"/>
        <w:ind w:left="255" w:hanging="113"/>
      </w:pPr>
      <w:r>
        <w:t>benchmark paper: baseline, KLT‑абляция, временной и внешний тест;</w:t>
      </w:r>
    </w:p>
    <w:p>
      <w:pPr>
        <w:pStyle w:val="ListBullet"/>
        <w:spacing w:after="60"/>
        <w:ind w:left="255" w:hanging="113"/>
      </w:pPr>
      <w:r>
        <w:t>software paper: воспроизводимый прототип и сертификаты;</w:t>
      </w:r>
    </w:p>
    <w:p>
      <w:pPr>
        <w:pStyle w:val="ListBullet"/>
        <w:spacing w:after="60"/>
        <w:ind w:left="255" w:hanging="113"/>
      </w:pPr>
      <w:r>
        <w:t>experimental report: результаты пилота независимо от знака эффекта.</w:t>
      </w:r>
    </w:p>
    <w:p>
      <w:pPr>
        <w:pStyle w:val="Heading1"/>
      </w:pPr>
      <w:r>
        <w:t>14. Риски, метрики и критерии перехода</w:t>
      </w:r>
    </w:p>
    <w:p>
      <w:pPr>
        <w:pStyle w:val="Heading2"/>
      </w:pPr>
      <w:r>
        <w:t>14.1. Реестр ключевых рисков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rPr>
          <w:tblHeader w:val="true"/>
        </w:trPr>
        <w:tc>
          <w:tcPr>
            <w:tcW w:type="dxa" w:w="2268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Риск</w:t>
            </w:r>
          </w:p>
        </w:tc>
        <w:tc>
          <w:tcPr>
            <w:tcW w:type="dxa" w:w="3402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Ранний индикатор</w:t>
            </w:r>
          </w:p>
        </w:tc>
        <w:tc>
          <w:tcPr>
            <w:tcW w:type="dxa" w:w="3685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Снижение риска</w:t>
            </w:r>
          </w:p>
        </w:tc>
      </w:tr>
      <w:tr>
        <w:tc>
          <w:tcPr>
            <w:tcW w:type="dxa" w:w="226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Неоднородность данных</w:t>
            </w:r>
          </w:p>
        </w:tc>
        <w:tc>
          <w:tcPr>
            <w:tcW w:type="dxa" w:w="3402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большая межисточниковая дисперсия</w:t>
            </w:r>
          </w:p>
        </w:tc>
        <w:tc>
          <w:tcPr>
            <w:tcW w:type="dxa" w:w="368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узкий домен, условия как часть объекта</w:t>
            </w:r>
          </w:p>
        </w:tc>
      </w:tr>
      <w:tr>
        <w:tc>
          <w:tcPr>
            <w:tcW w:type="dxa" w:w="226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Утечка</w:t>
            </w:r>
          </w:p>
        </w:tc>
        <w:tc>
          <w:tcPr>
            <w:tcW w:type="dxa" w:w="3402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аномально высокая метрика</w:t>
            </w:r>
          </w:p>
        </w:tc>
        <w:tc>
          <w:tcPr>
            <w:tcW w:type="dxa" w:w="368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time/group split, аудит дублей</w:t>
            </w:r>
          </w:p>
        </w:tc>
      </w:tr>
      <w:tr>
        <w:tc>
          <w:tcPr>
            <w:tcW w:type="dxa" w:w="226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Слабая добавка KLT</w:t>
            </w:r>
          </w:p>
        </w:tc>
        <w:tc>
          <w:tcPr>
            <w:tcW w:type="dxa" w:w="3402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абляция не ухудшает результат</w:t>
            </w:r>
          </w:p>
        </w:tc>
        <w:tc>
          <w:tcPr>
            <w:tcW w:type="dxa" w:w="368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публиковать отрицательный вывод; не усложнять</w:t>
            </w:r>
          </w:p>
        </w:tc>
      </w:tr>
      <w:tr>
        <w:tc>
          <w:tcPr>
            <w:tcW w:type="dxa" w:w="226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Переуверенность</w:t>
            </w:r>
          </w:p>
        </w:tc>
        <w:tc>
          <w:tcPr>
            <w:tcW w:type="dxa" w:w="3402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плохое покрытие интервалов</w:t>
            </w:r>
          </w:p>
        </w:tc>
        <w:tc>
          <w:tcPr>
            <w:tcW w:type="dxa" w:w="368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калибровка и ABSTAIN</w:t>
            </w:r>
          </w:p>
        </w:tc>
      </w:tr>
      <w:tr>
        <w:tc>
          <w:tcPr>
            <w:tcW w:type="dxa" w:w="226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Несинтезируемые кандидаты</w:t>
            </w:r>
          </w:p>
        </w:tc>
        <w:tc>
          <w:tcPr>
            <w:tcW w:type="dxa" w:w="3402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нет связных маршрутов</w:t>
            </w:r>
          </w:p>
        </w:tc>
        <w:tc>
          <w:tcPr>
            <w:tcW w:type="dxa" w:w="368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route gate до финального ранга</w:t>
            </w:r>
          </w:p>
        </w:tc>
      </w:tr>
      <w:tr>
        <w:tc>
          <w:tcPr>
            <w:tcW w:type="dxa" w:w="226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Смещение источников</w:t>
            </w:r>
          </w:p>
        </w:tc>
        <w:tc>
          <w:tcPr>
            <w:tcW w:type="dxa" w:w="3402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доминирование одной лаборатории</w:t>
            </w:r>
          </w:p>
        </w:tc>
        <w:tc>
          <w:tcPr>
            <w:tcW w:type="dxa" w:w="368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source‑aware split и внешние данные</w:t>
            </w:r>
          </w:p>
        </w:tc>
      </w:tr>
      <w:tr>
        <w:tc>
          <w:tcPr>
            <w:tcW w:type="dxa" w:w="226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Невоспроизводимость</w:t>
            </w:r>
          </w:p>
        </w:tc>
        <w:tc>
          <w:tcPr>
            <w:tcW w:type="dxa" w:w="3402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запуски расходятся</w:t>
            </w:r>
          </w:p>
        </w:tc>
        <w:tc>
          <w:tcPr>
            <w:tcW w:type="dxa" w:w="368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контейнер, seeds, hashes, golden tests</w:t>
            </w:r>
          </w:p>
        </w:tc>
      </w:tr>
      <w:tr>
        <w:tc>
          <w:tcPr>
            <w:tcW w:type="dxa" w:w="226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Лицензионные ограничения</w:t>
            </w:r>
          </w:p>
        </w:tc>
        <w:tc>
          <w:tcPr>
            <w:tcW w:type="dxa" w:w="3402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неясный статус данных</w:t>
            </w:r>
          </w:p>
        </w:tc>
        <w:tc>
          <w:tcPr>
            <w:tcW w:type="dxa" w:w="368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реестр лицензий и исключение до импорта</w:t>
            </w:r>
          </w:p>
        </w:tc>
      </w:tr>
    </w:tbl>
    <w:p>
      <w:pPr>
        <w:spacing w:after="0"/>
      </w:pPr>
    </w:p>
    <w:p>
      <w:pPr>
        <w:pStyle w:val="Heading2"/>
      </w:pPr>
      <w:r>
        <w:t>14.2. Метрики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rPr>
          <w:tblHeader w:val="true"/>
        </w:trPr>
        <w:tc>
          <w:tcPr>
            <w:tcW w:type="dxa" w:w="1814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Контур</w:t>
            </w:r>
          </w:p>
        </w:tc>
        <w:tc>
          <w:tcPr>
            <w:tcW w:type="dxa" w:w="3572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Метрики</w:t>
            </w:r>
          </w:p>
        </w:tc>
        <w:tc>
          <w:tcPr>
            <w:tcW w:type="dxa" w:w="3969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Правило интерпретации</w:t>
            </w:r>
          </w:p>
        </w:tc>
      </w:tr>
      <w:tr>
        <w:tc>
          <w:tcPr>
            <w:tcW w:type="dxa" w:w="181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Свойства</w:t>
            </w:r>
          </w:p>
        </w:tc>
        <w:tc>
          <w:tcPr>
            <w:tcW w:type="dxa" w:w="3572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MAE/RMSE, rank correlation, coverage</w:t>
            </w:r>
          </w:p>
        </w:tc>
        <w:tc>
          <w:tcPr>
            <w:tcW w:type="dxa" w:w="3969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по материалам/семействам, не по строкам</w:t>
            </w:r>
          </w:p>
        </w:tc>
      </w:tr>
      <w:tr>
        <w:tc>
          <w:tcPr>
            <w:tcW w:type="dxa" w:w="181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Поиск</w:t>
            </w:r>
          </w:p>
        </w:tc>
        <w:tc>
          <w:tcPr>
            <w:tcW w:type="dxa" w:w="3572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recall@k, enrichment factor</w:t>
            </w:r>
          </w:p>
        </w:tc>
        <w:tc>
          <w:tcPr>
            <w:tcW w:type="dxa" w:w="3969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на временно скрытых открытиях</w:t>
            </w:r>
          </w:p>
        </w:tc>
      </w:tr>
      <w:tr>
        <w:tc>
          <w:tcPr>
            <w:tcW w:type="dxa" w:w="181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Ранжирование</w:t>
            </w:r>
          </w:p>
        </w:tc>
        <w:tc>
          <w:tcPr>
            <w:tcW w:type="dxa" w:w="3572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hypervolume, regret, rank stability</w:t>
            </w:r>
          </w:p>
        </w:tc>
        <w:tc>
          <w:tcPr>
            <w:tcW w:type="dxa" w:w="3969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 учётом неопределённости</w:t>
            </w:r>
          </w:p>
        </w:tc>
      </w:tr>
      <w:tr>
        <w:tc>
          <w:tcPr>
            <w:tcW w:type="dxa" w:w="181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Синтез</w:t>
            </w:r>
          </w:p>
        </w:tc>
        <w:tc>
          <w:tcPr>
            <w:tcW w:type="dxa" w:w="3572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route validity, precursor coverage, expert agreement</w:t>
            </w:r>
          </w:p>
        </w:tc>
        <w:tc>
          <w:tcPr>
            <w:tcW w:type="dxa" w:w="3969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не равно экспериментальному выходу</w:t>
            </w:r>
          </w:p>
        </w:tc>
      </w:tr>
      <w:tr>
        <w:tc>
          <w:tcPr>
            <w:tcW w:type="dxa" w:w="181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Доказательства</w:t>
            </w:r>
          </w:p>
        </w:tc>
        <w:tc>
          <w:tcPr>
            <w:tcW w:type="dxa" w:w="3572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source coverage, blocker rate, abstention quality</w:t>
            </w:r>
          </w:p>
        </w:tc>
        <w:tc>
          <w:tcPr>
            <w:tcW w:type="dxa" w:w="3969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штраф за уверенную ошибку выше отказа</w:t>
            </w:r>
          </w:p>
        </w:tc>
      </w:tr>
      <w:tr>
        <w:tc>
          <w:tcPr>
            <w:tcW w:type="dxa" w:w="181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Инженерия</w:t>
            </w:r>
          </w:p>
        </w:tc>
        <w:tc>
          <w:tcPr>
            <w:tcW w:type="dxa" w:w="3572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reproducibility, latency, failure rate</w:t>
            </w:r>
          </w:p>
        </w:tc>
        <w:tc>
          <w:tcPr>
            <w:tcW w:type="dxa" w:w="3969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порог зависит от профиля исполнения</w:t>
            </w:r>
          </w:p>
        </w:tc>
      </w:tr>
    </w:tbl>
    <w:p>
      <w:pPr>
        <w:spacing w:after="0"/>
      </w:pPr>
    </w:p>
    <w:p>
      <w:pPr>
        <w:pStyle w:val="Heading2"/>
      </w:pPr>
      <w:r>
        <w:t>14.3. Критерий перехода к внешнему тесту</w:t>
      </w:r>
    </w:p>
    <w:p>
      <w:r>
        <w:t>Переход допускается, если зафиксированы данные и split; baseline реализован без KLT; метрики и минимальный эффект предзаданы; uncertainty откалибрована; утечки проверены; код и контейнер воспроизводимы; есть процедура one‑shot reveal; отрицательный результат принят как допустимый исход.</w:t>
      </w:r>
    </w:p>
    <w:p>
      <w:pPr>
        <w:pStyle w:val="Heading1"/>
      </w:pPr>
      <w:r>
        <w:t>15. Заключение</w:t>
      </w:r>
    </w:p>
    <w:p>
      <w:r>
        <w:t>KLT‑MATDES спроектирован как исследовательская система с сильной дисциплиной происхождения данных и доказательных границ. Его отличительный замысел — связать обратный дизайн материалов с реперным представлением KLT‑RBD, но проверять полезность этого слоя наравне с любой другой моделью: через базовые линии, абляцию, слепое разделение и независимое воспроизведение.</w:t>
      </w:r>
    </w:p>
    <w:p>
      <w:r>
        <w:t>Ближайший законченный результат — Python/SQLite‑прототип узкого класса материалов, который строит ChemGraph, принимает TargetSpec, формирует кандидатов, оценивает свойства и неопределённость, планирует маршрут, умеет отказать и выпускает сертификат. Только после прохождения ретроспективных, слепых, внешних и экспериментальных ворот допустимо повышать научный статус конкретных утверждений.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"/>
        <w:gridCol w:w="9241"/>
      </w:tblGrid>
      <w:tr>
        <w:tc>
          <w:tcPr>
            <w:tcW w:type="dxa" w:w="142"/>
            <w:shd w:fill="0B7A75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9241"/>
            <w:shd w:fill="F4F7F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b/>
                <w:color w:val="0B7A75"/>
                <w:sz w:val="17"/>
              </w:rPr>
              <w:t>РЕШЕНИЕ ДЛЯ СТАРТА</w:t>
            </w:r>
          </w:p>
          <w:p>
            <w:pPr>
              <w:spacing w:after="40" w:line="245" w:lineRule="auto"/>
            </w:pPr>
            <w:r>
              <w:t>Заморозить схемы TargetSpec v1, ChemGraph v1 и RunCertificate v1; собрать малый source‑bound корпус; реализовать golden run; затем выбирать первый доменный benchmark на основании покрытия и риска утечки.</w:t>
            </w:r>
          </w:p>
        </w:tc>
      </w:tr>
    </w:tbl>
    <w:p>
      <w:pPr>
        <w:spacing w:after="0"/>
      </w:pPr>
    </w:p>
    <w:p>
      <w:pPr>
        <w:pStyle w:val="Heading1"/>
      </w:pPr>
      <w:r>
        <w:t>A. Приложение A. Термины, обозначения и статусы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3"/>
        <w:gridCol w:w="5043"/>
      </w:tblGrid>
      <w:tr>
        <w:trPr>
          <w:tblHeader w:val="true"/>
        </w:trPr>
        <w:tc>
          <w:tcPr>
            <w:tcW w:type="dxa" w:w="2268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Термин</w:t>
            </w:r>
          </w:p>
        </w:tc>
        <w:tc>
          <w:tcPr>
            <w:tcW w:type="dxa" w:w="7087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Рабочее определение</w:t>
            </w:r>
          </w:p>
        </w:tc>
      </w:tr>
      <w:tr>
        <w:tc>
          <w:tcPr>
            <w:tcW w:type="dxa" w:w="226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TargetSpec</w:t>
            </w:r>
          </w:p>
        </w:tc>
        <w:tc>
          <w:tcPr>
            <w:tcW w:type="dxa" w:w="708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машиночитаемая постановка целевых свойств, условий, ограничений и приоритетов</w:t>
            </w:r>
          </w:p>
        </w:tc>
      </w:tr>
      <w:tr>
        <w:tc>
          <w:tcPr>
            <w:tcW w:type="dxa" w:w="226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ChemGraph</w:t>
            </w:r>
          </w:p>
        </w:tc>
        <w:tc>
          <w:tcPr>
            <w:tcW w:type="dxa" w:w="708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типизированный граф материалов, структур, наблюдений, процессов и источников</w:t>
            </w:r>
          </w:p>
        </w:tc>
      </w:tr>
      <w:tr>
        <w:tc>
          <w:tcPr>
            <w:tcW w:type="dxa" w:w="226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KLT‑RBD</w:t>
            </w:r>
          </w:p>
        </w:tc>
        <w:tc>
          <w:tcPr>
            <w:tcW w:type="dxa" w:w="708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реперная база данных и операции над пакетами R/I/U/D в заданной предметной схеме</w:t>
            </w:r>
          </w:p>
        </w:tc>
      </w:tr>
      <w:tr>
        <w:tc>
          <w:tcPr>
            <w:tcW w:type="dxa" w:w="226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R</w:t>
            </w:r>
          </w:p>
        </w:tc>
        <w:tc>
          <w:tcPr>
            <w:tcW w:type="dxa" w:w="708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опорные объекты, наблюдения и источники</w:t>
            </w:r>
          </w:p>
        </w:tc>
      </w:tr>
      <w:tr>
        <w:tc>
          <w:tcPr>
            <w:tcW w:type="dxa" w:w="226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I</w:t>
            </w:r>
          </w:p>
        </w:tc>
        <w:tc>
          <w:tcPr>
            <w:tcW w:type="dxa" w:w="708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отношения/инварианты при объявленном классе преобразований</w:t>
            </w:r>
          </w:p>
        </w:tc>
      </w:tr>
      <w:tr>
        <w:tc>
          <w:tcPr>
            <w:tcW w:type="dxa" w:w="226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U</w:t>
            </w:r>
          </w:p>
        </w:tc>
        <w:tc>
          <w:tcPr>
            <w:tcW w:type="dxa" w:w="708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неопределённости, границы и условия применимости</w:t>
            </w:r>
          </w:p>
        </w:tc>
      </w:tr>
      <w:tr>
        <w:tc>
          <w:tcPr>
            <w:tcW w:type="dxa" w:w="226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D</w:t>
            </w:r>
          </w:p>
        </w:tc>
        <w:tc>
          <w:tcPr>
            <w:tcW w:type="dxa" w:w="708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структурная координата различения, определённая в конкретной схеме</w:t>
            </w:r>
          </w:p>
        </w:tc>
      </w:tr>
      <w:tr>
        <w:tc>
          <w:tcPr>
            <w:tcW w:type="dxa" w:w="226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Ω</w:t>
            </w:r>
          </w:p>
        </w:tc>
        <w:tc>
          <w:tcPr>
            <w:tcW w:type="dxa" w:w="708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нормированная область поиска и применимости</w:t>
            </w:r>
          </w:p>
        </w:tc>
      </w:tr>
      <w:tr>
        <w:tc>
          <w:tcPr>
            <w:tcW w:type="dxa" w:w="226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λ‑профиль</w:t>
            </w:r>
          </w:p>
        </w:tc>
        <w:tc>
          <w:tcPr>
            <w:tcW w:type="dxa" w:w="708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внутренняя проективно‑реперная координата; не вероятность и не эмпирическая истинность</w:t>
            </w:r>
          </w:p>
        </w:tc>
      </w:tr>
      <w:tr>
        <w:tc>
          <w:tcPr>
            <w:tcW w:type="dxa" w:w="226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Pareto‑фронт</w:t>
            </w:r>
          </w:p>
        </w:tc>
        <w:tc>
          <w:tcPr>
            <w:tcW w:type="dxa" w:w="708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кандидаты, не ухудшаемые по одной цели без ухудшения по другой</w:t>
            </w:r>
          </w:p>
        </w:tc>
      </w:tr>
      <w:tr>
        <w:tc>
          <w:tcPr>
            <w:tcW w:type="dxa" w:w="226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Applicability</w:t>
            </w:r>
          </w:p>
        </w:tc>
        <w:tc>
          <w:tcPr>
            <w:tcW w:type="dxa" w:w="708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оценка того, насколько запрос и кандидат представлены обучающими данными</w:t>
            </w:r>
          </w:p>
        </w:tc>
      </w:tr>
      <w:tr>
        <w:tc>
          <w:tcPr>
            <w:tcW w:type="dxa" w:w="226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ABSTAIN</w:t>
            </w:r>
          </w:p>
        </w:tc>
        <w:tc>
          <w:tcPr>
            <w:tcW w:type="dxa" w:w="708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контролируемый отказ от содержательного вывода</w:t>
            </w:r>
          </w:p>
        </w:tc>
      </w:tr>
      <w:tr>
        <w:tc>
          <w:tcPr>
            <w:tcW w:type="dxa" w:w="226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BLOCKED</w:t>
            </w:r>
          </w:p>
        </w:tc>
        <w:tc>
          <w:tcPr>
            <w:tcW w:type="dxa" w:w="7087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остановка из‑за некорректного/неполного обязательного входа</w:t>
            </w:r>
          </w:p>
        </w:tc>
      </w:tr>
      <w:tr>
        <w:tc>
          <w:tcPr>
            <w:tcW w:type="dxa" w:w="226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EXT‑RUN</w:t>
            </w:r>
          </w:p>
        </w:tc>
        <w:tc>
          <w:tcPr>
            <w:tcW w:type="dxa" w:w="7087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независимая повторная сборка корпуса и расчёт по фиксированному протоколу</w:t>
            </w:r>
          </w:p>
        </w:tc>
      </w:tr>
    </w:tbl>
    <w:p>
      <w:pPr>
        <w:spacing w:after="0"/>
      </w:pPr>
    </w:p>
    <w:p>
      <w:pPr>
        <w:pStyle w:val="Heading1"/>
      </w:pPr>
      <w:r>
        <w:t>B. Приложение B. Контракты входа и результата</w:t>
      </w:r>
    </w:p>
    <w:p>
      <w:pPr>
        <w:pStyle w:val="Heading2"/>
      </w:pPr>
      <w:r>
        <w:t>B.1. Минимальный TargetSpec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EF2F4"/>
            <w:tcBorders>
              <w:top w:val="single" w:sz="4" w:color="CBD7DC"/>
              <w:left w:val="single" w:sz="4" w:color="CBD7DC"/>
              <w:bottom w:val="single" w:sz="4" w:color="CBD7DC"/>
              <w:right w:val="single" w:sz="4" w:color="CBD7DC"/>
            </w:tcBorders>
          </w:tcPr>
          <w:p>
            <w:pPr>
              <w:spacing w:after="0" w:line="240" w:lineRule="auto"/>
            </w:pPr>
            <w:r>
              <w:rPr>
                <w:rFonts w:ascii="DejaVu Sans Mono" w:hAnsi="DejaVu Sans Mono" w:eastAsia="DejaVu Sans Mono"/>
                <w:color w:val="24313C"/>
                <w:sz w:val="14"/>
              </w:rPr>
              <w:t>{</w:t>
              <w:br/>
              <w:t xml:space="preserve">  "schema": "klt-matdes.target.v1",</w:t>
              <w:br/>
              <w:t xml:space="preserve">  "material_class": "&lt;фиксируемый класс&gt;",</w:t>
              <w:br/>
              <w:t xml:space="preserve">  "target_properties": [</w:t>
              <w:br/>
              <w:t xml:space="preserve">    {"name": "&lt;property&gt;", "min": null, "max": null,</w:t>
              <w:br/>
              <w:t xml:space="preserve">     "unit": "&lt;SI/unit&gt;", "conditions": {"temperature_K": null},</w:t>
              <w:br/>
              <w:t xml:space="preserve">     "priority": "hard|soft", "weight": 1.0}</w:t>
              <w:br/>
              <w:t xml:space="preserve">  ],</w:t>
              <w:br/>
              <w:t xml:space="preserve">  "allowed_elements": [],</w:t>
              <w:br/>
              <w:t xml:space="preserve">  "forbidden_elements": [],</w:t>
              <w:br/>
              <w:t xml:space="preserve">  "process_limits": {},</w:t>
              <w:br/>
              <w:t xml:space="preserve">  "evidence_policy": "research|sealed|external",</w:t>
              <w:br/>
              <w:t xml:space="preserve">  "seed": 20260829</w:t>
              <w:br/>
              <w:t>}</w:t>
            </w:r>
          </w:p>
        </w:tc>
      </w:tr>
    </w:tbl>
    <w:p>
      <w:pPr>
        <w:spacing w:after="0"/>
      </w:pPr>
    </w:p>
    <w:p>
      <w:pPr>
        <w:pStyle w:val="Heading2"/>
      </w:pPr>
      <w:r>
        <w:t>B.2. Минимальный сертификат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EF2F4"/>
            <w:tcBorders>
              <w:top w:val="single" w:sz="4" w:color="CBD7DC"/>
              <w:left w:val="single" w:sz="4" w:color="CBD7DC"/>
              <w:bottom w:val="single" w:sz="4" w:color="CBD7DC"/>
              <w:right w:val="single" w:sz="4" w:color="CBD7DC"/>
            </w:tcBorders>
          </w:tcPr>
          <w:p>
            <w:pPr>
              <w:spacing w:after="0" w:line="240" w:lineRule="auto"/>
            </w:pPr>
            <w:r>
              <w:rPr>
                <w:rFonts w:ascii="DejaVu Sans Mono" w:hAnsi="DejaVu Sans Mono" w:eastAsia="DejaVu Sans Mono"/>
                <w:color w:val="24313C"/>
                <w:sz w:val="14"/>
              </w:rPr>
              <w:t>{</w:t>
              <w:br/>
              <w:t xml:space="preserve">  "schema": "klt-matdes.certificate.v1",</w:t>
              <w:br/>
              <w:t xml:space="preserve">  "run_id": "&lt;uuid&gt;",</w:t>
              <w:br/>
              <w:t xml:space="preserve">  "status": "PASS|REVIEW|ABSTAIN|BLOCKED",</w:t>
              <w:br/>
              <w:t xml:space="preserve">  "created_utc": "&lt;ISO-8601&gt;",</w:t>
              <w:br/>
              <w:t xml:space="preserve">  "input_sha256": "&lt;hash&gt;",</w:t>
              <w:br/>
              <w:t xml:space="preserve">  "corpus_manifest_sha256": "&lt;hash&gt;",</w:t>
              <w:br/>
              <w:t xml:space="preserve">  "model_manifest_sha256": "&lt;hash&gt;",</w:t>
              <w:br/>
              <w:t xml:space="preserve">  "code_revision": "&lt;immutable revision&gt;",</w:t>
              <w:br/>
              <w:t xml:space="preserve">  "seed": 20260829,</w:t>
              <w:br/>
              <w:t xml:space="preserve">  "domain": {"inside": false, "score": null, "reason": ""},</w:t>
              <w:br/>
              <w:t xml:space="preserve">  "gates": [{"name": "Source Gate", "pass": false, "evidence": []}],</w:t>
              <w:br/>
              <w:t xml:space="preserve">  "candidates": [],</w:t>
              <w:br/>
              <w:t xml:space="preserve">  "blockers": [],</w:t>
              <w:br/>
              <w:t xml:space="preserve">  "claim_boundary": "&lt;точная граница допустимого вывода&gt;"</w:t>
              <w:br/>
              <w:t>}</w:t>
            </w:r>
          </w:p>
        </w:tc>
      </w:tr>
    </w:tbl>
    <w:p>
      <w:pPr>
        <w:spacing w:after="0"/>
      </w:pPr>
    </w:p>
    <w:p>
      <w:pPr>
        <w:pStyle w:val="Heading1"/>
      </w:pPr>
      <w:r>
        <w:t>C. Приложение C. Псевдокод ядра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EF2F4"/>
            <w:tcBorders>
              <w:top w:val="single" w:sz="4" w:color="CBD7DC"/>
              <w:left w:val="single" w:sz="4" w:color="CBD7DC"/>
              <w:bottom w:val="single" w:sz="4" w:color="CBD7DC"/>
              <w:right w:val="single" w:sz="4" w:color="CBD7DC"/>
            </w:tcBorders>
          </w:tcPr>
          <w:p>
            <w:pPr>
              <w:spacing w:after="0" w:line="240" w:lineRule="auto"/>
            </w:pPr>
            <w:r>
              <w:rPr>
                <w:rFonts w:ascii="DejaVu Sans Mono" w:hAnsi="DejaVu Sans Mono" w:eastAsia="DejaVu Sans Mono"/>
                <w:color w:val="24313C"/>
                <w:sz w:val="14"/>
              </w:rPr>
              <w:t>function design_material(target_spec, manifests):</w:t>
              <w:br/>
              <w:t xml:space="preserve">    validate_schema(target_spec)</w:t>
              <w:br/>
              <w:t xml:space="preserve">    if contradictory(target_spec):</w:t>
              <w:br/>
              <w:t xml:space="preserve">        return certificate(BLOCKED, blockers)</w:t>
              <w:br/>
              <w:br/>
              <w:t xml:space="preserve">    omega = define_search_domain(target_spec, manifests.corpus)</w:t>
              <w:br/>
              <w:t xml:space="preserve">    anchors = retrieve_evidence_bound_anchors(omega, target_spec)</w:t>
              <w:br/>
              <w:t xml:space="preserve">    chem_graph = build_typed_chemgraph(anchors)</w:t>
              <w:br/>
              <w:t xml:space="preserve">    reper_pack = map_klt_representation(chem_graph, omega)</w:t>
              <w:br/>
              <w:br/>
              <w:t xml:space="preserve">    candidates = generate_candidates(target_spec, chem_graph)</w:t>
              <w:br/>
              <w:t xml:space="preserve">    candidates = apply_hard_chemical_filters(candidates, target_spec)</w:t>
              <w:br/>
              <w:t xml:space="preserve">    if candidates is empty:</w:t>
              <w:br/>
              <w:t xml:space="preserve">        return certificate(ABSTAIN, ["NO_ADMISSIBLE_CANDIDATES"])</w:t>
              <w:br/>
              <w:br/>
              <w:t xml:space="preserve">    for x in candidates:</w:t>
              <w:br/>
              <w:t xml:space="preserve">        x.predictions = predict_properties_with_uncertainty(x)</w:t>
              <w:br/>
              <w:t xml:space="preserve">        x.applicability = assess_domain(x)</w:t>
              <w:br/>
              <w:t xml:space="preserve">        x.klt_features = compute_klt_features(x, reper_pack)</w:t>
              <w:br/>
              <w:t xml:space="preserve">        x.routes = plan_synthesis_routes(x, target_spec.process_limits)</w:t>
              <w:br/>
              <w:t xml:space="preserve">        x.evidence = trace_sources(x)</w:t>
              <w:br/>
              <w:br/>
              <w:t xml:space="preserve">    gates = evaluate_evidence_gates(candidates, target_spec)</w:t>
              <w:br/>
              <w:t xml:space="preserve">    if gates.require_abstention:</w:t>
              <w:br/>
              <w:t xml:space="preserve">        return certificate(ABSTAIN, gates.blockers)</w:t>
              <w:br/>
              <w:br/>
              <w:t xml:space="preserve">    front = robust_pareto_rank(candidates, uncertainty=true)</w:t>
              <w:br/>
              <w:t xml:space="preserve">    return certificate(PASS, front, gates, manifests)</w:t>
            </w:r>
          </w:p>
        </w:tc>
      </w:tr>
    </w:tbl>
    <w:p>
      <w:pPr>
        <w:spacing w:after="0"/>
      </w:pPr>
    </w:p>
    <w:p>
      <w:pPr>
        <w:pStyle w:val="Heading2"/>
      </w:pPr>
      <w:r>
        <w:t>C.1. Правило отказа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EF2F4"/>
            <w:tcBorders>
              <w:top w:val="single" w:sz="4" w:color="CBD7DC"/>
              <w:left w:val="single" w:sz="4" w:color="CBD7DC"/>
              <w:bottom w:val="single" w:sz="4" w:color="CBD7DC"/>
              <w:right w:val="single" w:sz="4" w:color="CBD7DC"/>
            </w:tcBorders>
          </w:tcPr>
          <w:p>
            <w:pPr>
              <w:spacing w:after="0" w:line="240" w:lineRule="auto"/>
            </w:pPr>
            <w:r>
              <w:rPr>
                <w:rFonts w:ascii="DejaVu Sans Mono" w:hAnsi="DejaVu Sans Mono" w:eastAsia="DejaVu Sans Mono"/>
                <w:color w:val="24313C"/>
                <w:sz w:val="14"/>
              </w:rPr>
              <w:t>ABSTAIN if any mandatory condition holds:</w:t>
              <w:br/>
              <w:t xml:space="preserve">  missing_unit_or_conditions</w:t>
              <w:br/>
              <w:t xml:space="preserve">  OR out_of_applicability_domain</w:t>
              <w:br/>
              <w:t xml:space="preserve">  OR uncertainty_crosses_decision_boundary</w:t>
              <w:br/>
              <w:t xml:space="preserve">  OR unresolved_source_conflict</w:t>
              <w:br/>
              <w:t xml:space="preserve">  OR no_evidence_bound_synthesis_route</w:t>
              <w:br/>
              <w:t xml:space="preserve">  OR reproducibility_manifest_incomplete</w:t>
            </w:r>
          </w:p>
        </w:tc>
      </w:tr>
    </w:tbl>
    <w:p>
      <w:pPr>
        <w:spacing w:after="0"/>
      </w:pPr>
    </w:p>
    <w:p>
      <w:pPr>
        <w:pStyle w:val="Heading1"/>
      </w:pPr>
      <w:r>
        <w:t>D. Приложение D. Минимальная схема базы данных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rPr>
          <w:tblHeader w:val="true"/>
        </w:trPr>
        <w:tc>
          <w:tcPr>
            <w:tcW w:type="dxa" w:w="1928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4"/>
              </w:rPr>
              <w:t>Таблица</w:t>
            </w:r>
          </w:p>
        </w:tc>
        <w:tc>
          <w:tcPr>
            <w:tcW w:type="dxa" w:w="3969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4"/>
              </w:rPr>
              <w:t>Назначение</w:t>
            </w:r>
          </w:p>
        </w:tc>
        <w:tc>
          <w:tcPr>
            <w:tcW w:type="dxa" w:w="3458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4"/>
              </w:rPr>
              <w:t>Ключевые связи</w:t>
            </w:r>
          </w:p>
        </w:tc>
      </w:tr>
      <w:tr>
        <w:tc>
          <w:tcPr>
            <w:tcW w:type="dxa" w:w="192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materials</w:t>
            </w:r>
          </w:p>
        </w:tc>
        <w:tc>
          <w:tcPr>
            <w:tcW w:type="dxa" w:w="3969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канонические составы и идентификаторы</w:t>
            </w:r>
          </w:p>
        </w:tc>
        <w:tc>
          <w:tcPr>
            <w:tcW w:type="dxa" w:w="345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material_id</w:t>
            </w:r>
          </w:p>
        </w:tc>
      </w:tr>
      <w:tr>
        <w:tc>
          <w:tcPr>
            <w:tcW w:type="dxa" w:w="192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phases</w:t>
            </w:r>
          </w:p>
        </w:tc>
        <w:tc>
          <w:tcPr>
            <w:tcW w:type="dxa" w:w="3969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фазы и диапазоны существования</w:t>
            </w:r>
          </w:p>
        </w:tc>
        <w:tc>
          <w:tcPr>
            <w:tcW w:type="dxa" w:w="345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material_id → materials</w:t>
            </w:r>
          </w:p>
        </w:tc>
      </w:tr>
      <w:tr>
        <w:tc>
          <w:tcPr>
            <w:tcW w:type="dxa" w:w="192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structures</w:t>
            </w:r>
          </w:p>
        </w:tc>
        <w:tc>
          <w:tcPr>
            <w:tcW w:type="dxa" w:w="3969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кристаллические структуры</w:t>
            </w:r>
          </w:p>
        </w:tc>
        <w:tc>
          <w:tcPr>
            <w:tcW w:type="dxa" w:w="345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phase_id → phases</w:t>
            </w:r>
          </w:p>
        </w:tc>
      </w:tr>
      <w:tr>
        <w:tc>
          <w:tcPr>
            <w:tcW w:type="dxa" w:w="192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samples</w:t>
            </w:r>
          </w:p>
        </w:tc>
        <w:tc>
          <w:tcPr>
            <w:tcW w:type="dxa" w:w="3969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конкретные образцы</w:t>
            </w:r>
          </w:p>
        </w:tc>
        <w:tc>
          <w:tcPr>
            <w:tcW w:type="dxa" w:w="345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phase_id, process_id</w:t>
            </w:r>
          </w:p>
        </w:tc>
      </w:tr>
      <w:tr>
        <w:tc>
          <w:tcPr>
            <w:tcW w:type="dxa" w:w="192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properties</w:t>
            </w:r>
          </w:p>
        </w:tc>
        <w:tc>
          <w:tcPr>
            <w:tcW w:type="dxa" w:w="3969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словарь свойств и размерностей</w:t>
            </w:r>
          </w:p>
        </w:tc>
        <w:tc>
          <w:tcPr>
            <w:tcW w:type="dxa" w:w="345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property_id</w:t>
            </w:r>
          </w:p>
        </w:tc>
      </w:tr>
      <w:tr>
        <w:tc>
          <w:tcPr>
            <w:tcW w:type="dxa" w:w="192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observations</w:t>
            </w:r>
          </w:p>
        </w:tc>
        <w:tc>
          <w:tcPr>
            <w:tcW w:type="dxa" w:w="3969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измерения с условиями и σ</w:t>
            </w:r>
          </w:p>
        </w:tc>
        <w:tc>
          <w:tcPr>
            <w:tcW w:type="dxa" w:w="345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sample_id, property_id, source_id</w:t>
            </w:r>
          </w:p>
        </w:tc>
      </w:tr>
      <w:tr>
        <w:tc>
          <w:tcPr>
            <w:tcW w:type="dxa" w:w="192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processes</w:t>
            </w:r>
          </w:p>
        </w:tc>
        <w:tc>
          <w:tcPr>
            <w:tcW w:type="dxa" w:w="3969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маршруты и этапы получения</w:t>
            </w:r>
          </w:p>
        </w:tc>
        <w:tc>
          <w:tcPr>
            <w:tcW w:type="dxa" w:w="345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process_id</w:t>
            </w:r>
          </w:p>
        </w:tc>
      </w:tr>
      <w:tr>
        <w:tc>
          <w:tcPr>
            <w:tcW w:type="dxa" w:w="192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process_steps</w:t>
            </w:r>
          </w:p>
        </w:tc>
        <w:tc>
          <w:tcPr>
            <w:tcW w:type="dxa" w:w="3969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операции, параметры, порядок</w:t>
            </w:r>
          </w:p>
        </w:tc>
        <w:tc>
          <w:tcPr>
            <w:tcW w:type="dxa" w:w="345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process_id</w:t>
            </w:r>
          </w:p>
        </w:tc>
      </w:tr>
      <w:tr>
        <w:tc>
          <w:tcPr>
            <w:tcW w:type="dxa" w:w="192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sources</w:t>
            </w:r>
          </w:p>
        </w:tc>
        <w:tc>
          <w:tcPr>
            <w:tcW w:type="dxa" w:w="3969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происхождение, лицензия, версия</w:t>
            </w:r>
          </w:p>
        </w:tc>
        <w:tc>
          <w:tcPr>
            <w:tcW w:type="dxa" w:w="345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source_id</w:t>
            </w:r>
          </w:p>
        </w:tc>
      </w:tr>
      <w:tr>
        <w:tc>
          <w:tcPr>
            <w:tcW w:type="dxa" w:w="192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reper_nodes</w:t>
            </w:r>
          </w:p>
        </w:tc>
        <w:tc>
          <w:tcPr>
            <w:tcW w:type="dxa" w:w="3969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R/I/U/D узлы</w:t>
            </w:r>
          </w:p>
        </w:tc>
        <w:tc>
          <w:tcPr>
            <w:tcW w:type="dxa" w:w="345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reper_id, entity_ref</w:t>
            </w:r>
          </w:p>
        </w:tc>
      </w:tr>
      <w:tr>
        <w:tc>
          <w:tcPr>
            <w:tcW w:type="dxa" w:w="192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reper_edges</w:t>
            </w:r>
          </w:p>
        </w:tc>
        <w:tc>
          <w:tcPr>
            <w:tcW w:type="dxa" w:w="3969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типизированные связи</w:t>
            </w:r>
          </w:p>
        </w:tc>
        <w:tc>
          <w:tcPr>
            <w:tcW w:type="dxa" w:w="345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from_id, to_id, source_id</w:t>
            </w:r>
          </w:p>
        </w:tc>
      </w:tr>
      <w:tr>
        <w:tc>
          <w:tcPr>
            <w:tcW w:type="dxa" w:w="192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models</w:t>
            </w:r>
          </w:p>
        </w:tc>
        <w:tc>
          <w:tcPr>
            <w:tcW w:type="dxa" w:w="3969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версии моделей и области</w:t>
            </w:r>
          </w:p>
        </w:tc>
        <w:tc>
          <w:tcPr>
            <w:tcW w:type="dxa" w:w="345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model_id</w:t>
            </w:r>
          </w:p>
        </w:tc>
      </w:tr>
      <w:tr>
        <w:tc>
          <w:tcPr>
            <w:tcW w:type="dxa" w:w="192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predictions</w:t>
            </w:r>
          </w:p>
        </w:tc>
        <w:tc>
          <w:tcPr>
            <w:tcW w:type="dxa" w:w="3969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расчёты, не наблюдения</w:t>
            </w:r>
          </w:p>
        </w:tc>
        <w:tc>
          <w:tcPr>
            <w:tcW w:type="dxa" w:w="345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run_id, model_id, candidate_id</w:t>
            </w:r>
          </w:p>
        </w:tc>
      </w:tr>
      <w:tr>
        <w:tc>
          <w:tcPr>
            <w:tcW w:type="dxa" w:w="192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runs</w:t>
            </w:r>
          </w:p>
        </w:tc>
        <w:tc>
          <w:tcPr>
            <w:tcW w:type="dxa" w:w="3969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параметры запуска и статус</w:t>
            </w:r>
          </w:p>
        </w:tc>
        <w:tc>
          <w:tcPr>
            <w:tcW w:type="dxa" w:w="3458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run_id</w:t>
            </w:r>
          </w:p>
        </w:tc>
      </w:tr>
      <w:tr>
        <w:tc>
          <w:tcPr>
            <w:tcW w:type="dxa" w:w="192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certificates</w:t>
            </w:r>
          </w:p>
        </w:tc>
        <w:tc>
          <w:tcPr>
            <w:tcW w:type="dxa" w:w="3969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неизменяемый паспорт</w:t>
            </w:r>
          </w:p>
        </w:tc>
        <w:tc>
          <w:tcPr>
            <w:tcW w:type="dxa" w:w="345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run_id, hash</w:t>
            </w:r>
          </w:p>
        </w:tc>
      </w:tr>
    </w:tbl>
    <w:p>
      <w:pPr>
        <w:spacing w:after="0"/>
      </w:pPr>
    </w:p>
    <w:p>
      <w:pPr>
        <w:pStyle w:val="Heading2"/>
      </w:pPr>
      <w:r>
        <w:t>D.1. Инварианты схемы</w:t>
      </w:r>
    </w:p>
    <w:p>
      <w:pPr>
        <w:pStyle w:val="ListBullet"/>
        <w:spacing w:after="60"/>
        <w:ind w:left="255" w:hanging="113"/>
      </w:pPr>
      <w:r>
        <w:t>prediction никогда не обновляет observation;</w:t>
      </w:r>
    </w:p>
    <w:p>
      <w:pPr>
        <w:pStyle w:val="ListBullet"/>
        <w:spacing w:after="60"/>
        <w:ind w:left="255" w:hanging="113"/>
      </w:pPr>
      <w:r>
        <w:t>observation без unit/conditions получает признак incomplete;</w:t>
      </w:r>
    </w:p>
    <w:p>
      <w:pPr>
        <w:pStyle w:val="ListBullet"/>
        <w:spacing w:after="60"/>
        <w:ind w:left="255" w:hanging="113"/>
      </w:pPr>
      <w:r>
        <w:t>каждый производный объект имеет DERIVED_FROM;</w:t>
      </w:r>
    </w:p>
    <w:p>
      <w:pPr>
        <w:pStyle w:val="ListBullet"/>
        <w:spacing w:after="60"/>
        <w:ind w:left="255" w:hanging="113"/>
      </w:pPr>
      <w:r>
        <w:t>сертификат ссылается на неизменяемые манифесты;</w:t>
      </w:r>
    </w:p>
    <w:p>
      <w:pPr>
        <w:pStyle w:val="ListBullet"/>
        <w:spacing w:after="60"/>
        <w:ind w:left="255" w:hanging="113"/>
      </w:pPr>
      <w:r>
        <w:t>удаление source не разрушает историческую трассировку запуска.</w:t>
      </w:r>
    </w:p>
    <w:p>
      <w:pPr>
        <w:pStyle w:val="Heading1"/>
      </w:pPr>
      <w:r>
        <w:t>E. Приложение E. Контур API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rPr>
          <w:tblHeader w:val="true"/>
        </w:trPr>
        <w:tc>
          <w:tcPr>
            <w:tcW w:type="dxa" w:w="1134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Метод</w:t>
            </w:r>
          </w:p>
        </w:tc>
        <w:tc>
          <w:tcPr>
            <w:tcW w:type="dxa" w:w="3515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Маршрут</w:t>
            </w:r>
          </w:p>
        </w:tc>
        <w:tc>
          <w:tcPr>
            <w:tcW w:type="dxa" w:w="4706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Назначение</w:t>
            </w:r>
          </w:p>
        </w:tc>
      </w:tr>
      <w:tr>
        <w:tc>
          <w:tcPr>
            <w:tcW w:type="dxa" w:w="113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POST</w:t>
            </w:r>
          </w:p>
        </w:tc>
        <w:tc>
          <w:tcPr>
            <w:tcW w:type="dxa" w:w="351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/v1/targets/validate</w:t>
            </w:r>
          </w:p>
        </w:tc>
        <w:tc>
          <w:tcPr>
            <w:tcW w:type="dxa" w:w="4706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валидация TargetSpec без запуска</w:t>
            </w:r>
          </w:p>
        </w:tc>
      </w:tr>
      <w:tr>
        <w:tc>
          <w:tcPr>
            <w:tcW w:type="dxa" w:w="113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POST</w:t>
            </w:r>
          </w:p>
        </w:tc>
        <w:tc>
          <w:tcPr>
            <w:tcW w:type="dxa" w:w="351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/v1/runs</w:t>
            </w:r>
          </w:p>
        </w:tc>
        <w:tc>
          <w:tcPr>
            <w:tcW w:type="dxa" w:w="4706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создать запуск</w:t>
            </w:r>
          </w:p>
        </w:tc>
      </w:tr>
      <w:tr>
        <w:tc>
          <w:tcPr>
            <w:tcW w:type="dxa" w:w="113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GET</w:t>
            </w:r>
          </w:p>
        </w:tc>
        <w:tc>
          <w:tcPr>
            <w:tcW w:type="dxa" w:w="351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/v1/runs/{id}</w:t>
            </w:r>
          </w:p>
        </w:tc>
        <w:tc>
          <w:tcPr>
            <w:tcW w:type="dxa" w:w="4706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статус и прогресс</w:t>
            </w:r>
          </w:p>
        </w:tc>
      </w:tr>
      <w:tr>
        <w:tc>
          <w:tcPr>
            <w:tcW w:type="dxa" w:w="113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POST</w:t>
            </w:r>
          </w:p>
        </w:tc>
        <w:tc>
          <w:tcPr>
            <w:tcW w:type="dxa" w:w="351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/v1/runs/{id}/cancel</w:t>
            </w:r>
          </w:p>
        </w:tc>
        <w:tc>
          <w:tcPr>
            <w:tcW w:type="dxa" w:w="4706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контролируемая отмена</w:t>
            </w:r>
          </w:p>
        </w:tc>
      </w:tr>
      <w:tr>
        <w:tc>
          <w:tcPr>
            <w:tcW w:type="dxa" w:w="113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GET</w:t>
            </w:r>
          </w:p>
        </w:tc>
        <w:tc>
          <w:tcPr>
            <w:tcW w:type="dxa" w:w="351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/v1/runs/{id}/candidates</w:t>
            </w:r>
          </w:p>
        </w:tc>
        <w:tc>
          <w:tcPr>
            <w:tcW w:type="dxa" w:w="4706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список и Pareto‑фронт</w:t>
            </w:r>
          </w:p>
        </w:tc>
      </w:tr>
      <w:tr>
        <w:tc>
          <w:tcPr>
            <w:tcW w:type="dxa" w:w="113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GET</w:t>
            </w:r>
          </w:p>
        </w:tc>
        <w:tc>
          <w:tcPr>
            <w:tcW w:type="dxa" w:w="351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/v1/candidates/{id}</w:t>
            </w:r>
          </w:p>
        </w:tc>
        <w:tc>
          <w:tcPr>
            <w:tcW w:type="dxa" w:w="4706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карточка кандидата</w:t>
            </w:r>
          </w:p>
        </w:tc>
      </w:tr>
      <w:tr>
        <w:tc>
          <w:tcPr>
            <w:tcW w:type="dxa" w:w="113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GET</w:t>
            </w:r>
          </w:p>
        </w:tc>
        <w:tc>
          <w:tcPr>
            <w:tcW w:type="dxa" w:w="351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/v1/candidates/{id}/routes</w:t>
            </w:r>
          </w:p>
        </w:tc>
        <w:tc>
          <w:tcPr>
            <w:tcW w:type="dxa" w:w="4706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маршруты получения</w:t>
            </w:r>
          </w:p>
        </w:tc>
      </w:tr>
      <w:tr>
        <w:tc>
          <w:tcPr>
            <w:tcW w:type="dxa" w:w="113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GET</w:t>
            </w:r>
          </w:p>
        </w:tc>
        <w:tc>
          <w:tcPr>
            <w:tcW w:type="dxa" w:w="351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/v1/runs/{id}/certificate</w:t>
            </w:r>
          </w:p>
        </w:tc>
        <w:tc>
          <w:tcPr>
            <w:tcW w:type="dxa" w:w="4706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certificate.json</w:t>
            </w:r>
          </w:p>
        </w:tc>
      </w:tr>
      <w:tr>
        <w:tc>
          <w:tcPr>
            <w:tcW w:type="dxa" w:w="113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GET</w:t>
            </w:r>
          </w:p>
        </w:tc>
        <w:tc>
          <w:tcPr>
            <w:tcW w:type="dxa" w:w="351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/v1/runs/{id}/report</w:t>
            </w:r>
          </w:p>
        </w:tc>
        <w:tc>
          <w:tcPr>
            <w:tcW w:type="dxa" w:w="4706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DOCX/PDF отчёт</w:t>
            </w:r>
          </w:p>
        </w:tc>
      </w:tr>
      <w:tr>
        <w:tc>
          <w:tcPr>
            <w:tcW w:type="dxa" w:w="113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POST</w:t>
            </w:r>
          </w:p>
        </w:tc>
        <w:tc>
          <w:tcPr>
            <w:tcW w:type="dxa" w:w="351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/v1/corpora/import</w:t>
            </w:r>
          </w:p>
        </w:tc>
        <w:tc>
          <w:tcPr>
            <w:tcW w:type="dxa" w:w="4706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контролируемый импорт корпуса</w:t>
            </w:r>
          </w:p>
        </w:tc>
      </w:tr>
      <w:tr>
        <w:tc>
          <w:tcPr>
            <w:tcW w:type="dxa" w:w="113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GET</w:t>
            </w:r>
          </w:p>
        </w:tc>
        <w:tc>
          <w:tcPr>
            <w:tcW w:type="dxa" w:w="351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/v1/manifests/{hash}</w:t>
            </w:r>
          </w:p>
        </w:tc>
        <w:tc>
          <w:tcPr>
            <w:tcW w:type="dxa" w:w="4706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получение версии/манифеста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"/>
        <w:gridCol w:w="9241"/>
      </w:tblGrid>
      <w:tr>
        <w:tc>
          <w:tcPr>
            <w:tcW w:type="dxa" w:w="142"/>
            <w:shd w:fill="0B7A75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9241"/>
            <w:shd w:fill="F4F7F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b/>
                <w:color w:val="0B7A75"/>
                <w:sz w:val="17"/>
              </w:rPr>
              <w:t>ПРАВИЛО API</w:t>
            </w:r>
          </w:p>
          <w:p>
            <w:pPr>
              <w:spacing w:after="40" w:line="245" w:lineRule="auto"/>
            </w:pPr>
            <w:r>
              <w:t>Любой ответ с кандидатом включает status, claim_boundary, warnings и ссылку на certificate. HTTP 200 не тождествен научному PASS.</w:t>
            </w:r>
          </w:p>
        </w:tc>
      </w:tr>
    </w:tbl>
    <w:p>
      <w:pPr>
        <w:spacing w:after="0"/>
      </w:pPr>
    </w:p>
    <w:p>
      <w:pPr>
        <w:pStyle w:val="Heading1"/>
      </w:pPr>
      <w:r>
        <w:t>F. Приложение F. Матрица испытаний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rPr>
          <w:tblHeader w:val="true"/>
        </w:trPr>
        <w:tc>
          <w:tcPr>
            <w:tcW w:type="dxa" w:w="794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4"/>
              </w:rPr>
              <w:t>ID</w:t>
            </w:r>
          </w:p>
        </w:tc>
        <w:tc>
          <w:tcPr>
            <w:tcW w:type="dxa" w:w="3061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4"/>
              </w:rPr>
              <w:t>Испытание</w:t>
            </w:r>
          </w:p>
        </w:tc>
        <w:tc>
          <w:tcPr>
            <w:tcW w:type="dxa" w:w="2665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4"/>
              </w:rPr>
              <w:t>Вход</w:t>
            </w:r>
          </w:p>
        </w:tc>
        <w:tc>
          <w:tcPr>
            <w:tcW w:type="dxa" w:w="2835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4"/>
              </w:rPr>
              <w:t>Ожидаемый исход</w:t>
            </w:r>
          </w:p>
        </w:tc>
      </w:tr>
      <w:tr>
        <w:tc>
          <w:tcPr>
            <w:tcW w:type="dxa" w:w="79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T‑01</w:t>
            </w:r>
          </w:p>
        </w:tc>
        <w:tc>
          <w:tcPr>
            <w:tcW w:type="dxa" w:w="306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валидная узкая цель</w:t>
            </w:r>
          </w:p>
        </w:tc>
        <w:tc>
          <w:tcPr>
            <w:tcW w:type="dxa" w:w="266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полные свойства/условия</w:t>
            </w:r>
          </w:p>
        </w:tc>
        <w:tc>
          <w:tcPr>
            <w:tcW w:type="dxa" w:w="283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PASS/REVIEW + candidates</w:t>
            </w:r>
          </w:p>
        </w:tc>
      </w:tr>
      <w:tr>
        <w:tc>
          <w:tcPr>
            <w:tcW w:type="dxa" w:w="79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T‑02</w:t>
            </w:r>
          </w:p>
        </w:tc>
        <w:tc>
          <w:tcPr>
            <w:tcW w:type="dxa" w:w="306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противоречивые hard‑ограничения</w:t>
            </w:r>
          </w:p>
        </w:tc>
        <w:tc>
          <w:tcPr>
            <w:tcW w:type="dxa" w:w="266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несовместимые диапазоны</w:t>
            </w:r>
          </w:p>
        </w:tc>
        <w:tc>
          <w:tcPr>
            <w:tcW w:type="dxa" w:w="283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BLOCKED + причина</w:t>
            </w:r>
          </w:p>
        </w:tc>
      </w:tr>
      <w:tr>
        <w:tc>
          <w:tcPr>
            <w:tcW w:type="dxa" w:w="79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T‑03</w:t>
            </w:r>
          </w:p>
        </w:tc>
        <w:tc>
          <w:tcPr>
            <w:tcW w:type="dxa" w:w="306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нет единицы</w:t>
            </w:r>
          </w:p>
        </w:tc>
        <w:tc>
          <w:tcPr>
            <w:tcW w:type="dxa" w:w="266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число без dimension</w:t>
            </w:r>
          </w:p>
        </w:tc>
        <w:tc>
          <w:tcPr>
            <w:tcW w:type="dxa" w:w="283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BLOCKED</w:t>
            </w:r>
          </w:p>
        </w:tc>
      </w:tr>
      <w:tr>
        <w:tc>
          <w:tcPr>
            <w:tcW w:type="dxa" w:w="79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T‑04</w:t>
            </w:r>
          </w:p>
        </w:tc>
        <w:tc>
          <w:tcPr>
            <w:tcW w:type="dxa" w:w="306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кандидат вне домена</w:t>
            </w:r>
          </w:p>
        </w:tc>
        <w:tc>
          <w:tcPr>
            <w:tcW w:type="dxa" w:w="266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дальний состав/структура</w:t>
            </w:r>
          </w:p>
        </w:tc>
        <w:tc>
          <w:tcPr>
            <w:tcW w:type="dxa" w:w="283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ABSTAIN</w:t>
            </w:r>
          </w:p>
        </w:tc>
      </w:tr>
      <w:tr>
        <w:tc>
          <w:tcPr>
            <w:tcW w:type="dxa" w:w="79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T‑05</w:t>
            </w:r>
          </w:p>
        </w:tc>
        <w:tc>
          <w:tcPr>
            <w:tcW w:type="dxa" w:w="306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конфликт источников</w:t>
            </w:r>
          </w:p>
        </w:tc>
        <w:tc>
          <w:tcPr>
            <w:tcW w:type="dxa" w:w="266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несовместимые observations</w:t>
            </w:r>
          </w:p>
        </w:tc>
        <w:tc>
          <w:tcPr>
            <w:tcW w:type="dxa" w:w="283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REVIEW/ABSTAIN + карта</w:t>
            </w:r>
          </w:p>
        </w:tc>
      </w:tr>
      <w:tr>
        <w:tc>
          <w:tcPr>
            <w:tcW w:type="dxa" w:w="79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T‑06</w:t>
            </w:r>
          </w:p>
        </w:tc>
        <w:tc>
          <w:tcPr>
            <w:tcW w:type="dxa" w:w="306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нет маршрута</w:t>
            </w:r>
          </w:p>
        </w:tc>
        <w:tc>
          <w:tcPr>
            <w:tcW w:type="dxa" w:w="266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изолированный candidate</w:t>
            </w:r>
          </w:p>
        </w:tc>
        <w:tc>
          <w:tcPr>
            <w:tcW w:type="dxa" w:w="283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ABSTAIN synthesis</w:t>
            </w:r>
          </w:p>
        </w:tc>
      </w:tr>
      <w:tr>
        <w:tc>
          <w:tcPr>
            <w:tcW w:type="dxa" w:w="79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T‑07</w:t>
            </w:r>
          </w:p>
        </w:tc>
        <w:tc>
          <w:tcPr>
            <w:tcW w:type="dxa" w:w="306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повтор запуска</w:t>
            </w:r>
          </w:p>
        </w:tc>
        <w:tc>
          <w:tcPr>
            <w:tcW w:type="dxa" w:w="266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те же bytes/seed</w:t>
            </w:r>
          </w:p>
        </w:tc>
        <w:tc>
          <w:tcPr>
            <w:tcW w:type="dxa" w:w="283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идентичные hashes/output</w:t>
            </w:r>
          </w:p>
        </w:tc>
      </w:tr>
      <w:tr>
        <w:tc>
          <w:tcPr>
            <w:tcW w:type="dxa" w:w="79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T‑08</w:t>
            </w:r>
          </w:p>
        </w:tc>
        <w:tc>
          <w:tcPr>
            <w:tcW w:type="dxa" w:w="306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изменён корпус</w:t>
            </w:r>
          </w:p>
        </w:tc>
        <w:tc>
          <w:tcPr>
            <w:tcW w:type="dxa" w:w="266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новый manifest</w:t>
            </w:r>
          </w:p>
        </w:tc>
        <w:tc>
          <w:tcPr>
            <w:tcW w:type="dxa" w:w="283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новый certificate; старый сохранён</w:t>
            </w:r>
          </w:p>
        </w:tc>
      </w:tr>
      <w:tr>
        <w:tc>
          <w:tcPr>
            <w:tcW w:type="dxa" w:w="79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T‑09</w:t>
            </w:r>
          </w:p>
        </w:tc>
        <w:tc>
          <w:tcPr>
            <w:tcW w:type="dxa" w:w="306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baseline vs KLT</w:t>
            </w:r>
          </w:p>
        </w:tc>
        <w:tc>
          <w:tcPr>
            <w:tcW w:type="dxa" w:w="266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фиксированный split</w:t>
            </w:r>
          </w:p>
        </w:tc>
        <w:tc>
          <w:tcPr>
            <w:tcW w:type="dxa" w:w="283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абляционная таблица</w:t>
            </w:r>
          </w:p>
        </w:tc>
      </w:tr>
      <w:tr>
        <w:tc>
          <w:tcPr>
            <w:tcW w:type="dxa" w:w="79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T‑10</w:t>
            </w:r>
          </w:p>
        </w:tc>
        <w:tc>
          <w:tcPr>
            <w:tcW w:type="dxa" w:w="306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скрытый канал</w:t>
            </w:r>
          </w:p>
        </w:tc>
        <w:tc>
          <w:tcPr>
            <w:tcW w:type="dxa" w:w="266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sealed test</w:t>
            </w:r>
          </w:p>
        </w:tc>
        <w:tc>
          <w:tcPr>
            <w:tcW w:type="dxa" w:w="283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one‑shot certificate</w:t>
            </w:r>
          </w:p>
        </w:tc>
      </w:tr>
      <w:tr>
        <w:tc>
          <w:tcPr>
            <w:tcW w:type="dxa" w:w="794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T‑11</w:t>
            </w:r>
          </w:p>
        </w:tc>
        <w:tc>
          <w:tcPr>
            <w:tcW w:type="dxa" w:w="306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опасная рекомендация</w:t>
            </w:r>
          </w:p>
        </w:tc>
        <w:tc>
          <w:tcPr>
            <w:tcW w:type="dxa" w:w="266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неполные risk data</w:t>
            </w:r>
          </w:p>
        </w:tc>
        <w:tc>
          <w:tcPr>
            <w:tcW w:type="dxa" w:w="2835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ABSTAIN + safety warning</w:t>
            </w:r>
          </w:p>
        </w:tc>
      </w:tr>
      <w:tr>
        <w:tc>
          <w:tcPr>
            <w:tcW w:type="dxa" w:w="794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T‑12</w:t>
            </w:r>
          </w:p>
        </w:tc>
        <w:tc>
          <w:tcPr>
            <w:tcW w:type="dxa" w:w="306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офлайн пакет</w:t>
            </w:r>
          </w:p>
        </w:tc>
        <w:tc>
          <w:tcPr>
            <w:tcW w:type="dxa" w:w="266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фиксированная SQLite/model bundle</w:t>
            </w:r>
          </w:p>
        </w:tc>
        <w:tc>
          <w:tcPr>
            <w:tcW w:type="dxa" w:w="2835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4"/>
              </w:rPr>
              <w:t>тот же контракт статусов</w:t>
            </w:r>
          </w:p>
        </w:tc>
      </w:tr>
    </w:tbl>
    <w:p>
      <w:pPr>
        <w:spacing w:after="0"/>
      </w:pPr>
    </w:p>
    <w:p>
      <w:pPr>
        <w:pStyle w:val="Heading1"/>
      </w:pPr>
      <w:r>
        <w:t>G. Приложение G. Реестр научных иллюстраций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rPr>
          <w:tblHeader w:val="true"/>
        </w:trPr>
        <w:tc>
          <w:tcPr>
            <w:tcW w:type="dxa" w:w="680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№</w:t>
            </w:r>
          </w:p>
        </w:tc>
        <w:tc>
          <w:tcPr>
            <w:tcW w:type="dxa" w:w="3061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Название</w:t>
            </w:r>
          </w:p>
        </w:tc>
        <w:tc>
          <w:tcPr>
            <w:tcW w:type="dxa" w:w="5726"/>
            <w:shd w:fill="18324B"/>
            <w:vAlign w:val="center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Финальное техническое задание</w:t>
            </w:r>
          </w:p>
        </w:tc>
      </w:tr>
      <w:tr>
        <w:tc>
          <w:tcPr>
            <w:tcW w:type="dxa" w:w="680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1</w:t>
            </w:r>
          </w:p>
        </w:tc>
        <w:tc>
          <w:tcPr>
            <w:tcW w:type="dxa" w:w="306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Карта задачи KLT‑MATDES</w:t>
            </w:r>
          </w:p>
        </w:tc>
        <w:tc>
          <w:tcPr>
            <w:tcW w:type="dxa" w:w="5726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объединить постановку, граф, кандидаты, маршрут и сертификат</w:t>
            </w:r>
          </w:p>
        </w:tc>
      </w:tr>
      <w:tr>
        <w:tc>
          <w:tcPr>
            <w:tcW w:type="dxa" w:w="680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2</w:t>
            </w:r>
          </w:p>
        </w:tc>
        <w:tc>
          <w:tcPr>
            <w:tcW w:type="dxa" w:w="306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Семислойная архитектура</w:t>
            </w:r>
          </w:p>
        </w:tc>
        <w:tc>
          <w:tcPr>
            <w:tcW w:type="dxa" w:w="5726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показать слои и сквозные контуры версий/безопасности</w:t>
            </w:r>
          </w:p>
        </w:tc>
      </w:tr>
      <w:tr>
        <w:tc>
          <w:tcPr>
            <w:tcW w:type="dxa" w:w="680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3</w:t>
            </w:r>
          </w:p>
        </w:tc>
        <w:tc>
          <w:tcPr>
            <w:tcW w:type="dxa" w:w="306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ChemGraph и реперный пакет</w:t>
            </w:r>
          </w:p>
        </w:tc>
        <w:tc>
          <w:tcPr>
            <w:tcW w:type="dxa" w:w="5726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типизированные узлы, R/I/U/D и доказательные рёбра</w:t>
            </w:r>
          </w:p>
        </w:tc>
      </w:tr>
      <w:tr>
        <w:tc>
          <w:tcPr>
            <w:tcW w:type="dxa" w:w="680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4</w:t>
            </w:r>
          </w:p>
        </w:tc>
        <w:tc>
          <w:tcPr>
            <w:tcW w:type="dxa" w:w="306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Алгоритмический конвейер</w:t>
            </w:r>
          </w:p>
        </w:tc>
        <w:tc>
          <w:tcPr>
            <w:tcW w:type="dxa" w:w="5726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12 этапов, ветви BLOCKED и ABSTAIN</w:t>
            </w:r>
          </w:p>
        </w:tc>
      </w:tr>
      <w:tr>
        <w:tc>
          <w:tcPr>
            <w:tcW w:type="dxa" w:w="680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5</w:t>
            </w:r>
          </w:p>
        </w:tc>
        <w:tc>
          <w:tcPr>
            <w:tcW w:type="dxa" w:w="306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Граф маршрутов получения</w:t>
            </w:r>
          </w:p>
        </w:tc>
        <w:tc>
          <w:tcPr>
            <w:tcW w:type="dxa" w:w="5726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альтернативы, условия, источники, разрыв</w:t>
            </w:r>
          </w:p>
        </w:tc>
      </w:tr>
      <w:tr>
        <w:tc>
          <w:tcPr>
            <w:tcW w:type="dxa" w:w="680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6</w:t>
            </w:r>
          </w:p>
        </w:tc>
        <w:tc>
          <w:tcPr>
            <w:tcW w:type="dxa" w:w="306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Лестница доказательности</w:t>
            </w:r>
          </w:p>
        </w:tc>
        <w:tc>
          <w:tcPr>
            <w:tcW w:type="dxa" w:w="5726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формальное → вычислительное → внешнее → экспериментальное</w:t>
            </w:r>
          </w:p>
        </w:tc>
      </w:tr>
      <w:tr>
        <w:tc>
          <w:tcPr>
            <w:tcW w:type="dxa" w:w="680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7</w:t>
            </w:r>
          </w:p>
        </w:tc>
        <w:tc>
          <w:tcPr>
            <w:tcW w:type="dxa" w:w="3061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Макет рабочего экрана</w:t>
            </w:r>
          </w:p>
        </w:tc>
        <w:tc>
          <w:tcPr>
            <w:tcW w:type="dxa" w:w="5726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TargetSpec, Pareto‑список, карточка кандидата</w:t>
            </w:r>
          </w:p>
        </w:tc>
      </w:tr>
      <w:tr>
        <w:tc>
          <w:tcPr>
            <w:tcW w:type="dxa" w:w="680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8</w:t>
            </w:r>
          </w:p>
        </w:tc>
        <w:tc>
          <w:tcPr>
            <w:tcW w:type="dxa" w:w="3061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Дорожная карта M0–M7</w:t>
            </w:r>
          </w:p>
        </w:tc>
        <w:tc>
          <w:tcPr>
            <w:tcW w:type="dxa" w:w="5726"/>
            <w:shd w:fill="F4F7F8"/>
            <w:vAlign w:val="top"/>
            <w:tcBorders>
              <w:top w:val="single" w:sz="2" w:color="D7E1E5"/>
              <w:left w:val="single" w:sz="2" w:color="D7E1E5"/>
              <w:bottom w:val="single" w:sz="2" w:color="D7E1E5"/>
              <w:right w:val="single" w:sz="2" w:color="D7E1E5"/>
            </w:tcBorders>
          </w:tcPr>
          <w:p>
            <w:pPr>
              <w:spacing w:after="20" w:line="240" w:lineRule="auto"/>
            </w:pPr>
            <w:r>
              <w:rPr>
                <w:rFonts w:ascii="DejaVu Sans" w:hAnsi="DejaVu Sans"/>
                <w:sz w:val="15"/>
              </w:rPr>
              <w:t>инженерная и научная дорожки с воротами</w:t>
            </w:r>
          </w:p>
        </w:tc>
      </w:tr>
    </w:tbl>
    <w:p>
      <w:pPr>
        <w:spacing w:after="0"/>
      </w:pPr>
    </w:p>
    <w:p>
      <w:r>
        <w:t>Все иллюстрации имеют стабильные номера и подписи. Исходные SVG и высококачественные PNG входят в графический пакет версии 1.1.</w:t>
      </w:r>
    </w:p>
    <w:p>
      <w:r>
        <w:br w:type="page"/>
      </w:r>
    </w:p>
    <w:p>
      <w:pPr>
        <w:spacing w:before="1800"/>
        <w:jc w:val="center"/>
      </w:pPr>
      <w:r>
        <w:rPr>
          <w:b/>
          <w:color w:val="18324B"/>
          <w:sz w:val="44"/>
        </w:rPr>
        <w:t>KLT‑MATDES</w:t>
      </w:r>
    </w:p>
    <w:p>
      <w:pPr>
        <w:jc w:val="center"/>
      </w:pPr>
      <w:r>
        <w:rPr>
          <w:color w:val="0B7A75"/>
          <w:sz w:val="22"/>
        </w:rPr>
        <w:t>Проектно‑техническая спецификация · v1.1</w:t>
      </w:r>
    </w:p>
    <w:p>
      <w:pPr>
        <w:jc w:val="center"/>
      </w:pPr>
      <w:r>
        <w:rPr>
          <w:color w:val="667684"/>
          <w:sz w:val="17"/>
        </w:rPr>
        <w:t>© Курпишев Иван Борисович, 2026. Авторская концепция и компоновка проекта.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64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color w:val="667684"/>
        <w:sz w:val="15"/>
      </w:rPr>
      <w:t xml:space="preserve">Курпишев Иван Борисович  ·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DejaVu Sans" w:hAnsi="DejaVu Sans"/>
        <w:b/>
        <w:color w:val="667684"/>
        <w:sz w:val="15"/>
      </w:rPr>
      <w:t>KLT‑MATDES  ·  ПРОЕКТНАЯ СПЕЦИФИКАЦИЯ  ·  v1.1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  <w:jc w:val="both"/>
    </w:pPr>
    <w:rPr>
      <w:rFonts w:ascii="DejaVu Sans" w:hAnsi="DejaVu Sans" w:eastAsia="DejaVu Sans"/>
      <w:color w:val="24313C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 w:ascii="DejaVu Sans" w:hAnsi="DejaVu Sans" w:eastAsia="DejaVu Sans"/>
      <w:b/>
      <w:bCs/>
      <w:color w:val="18324B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DejaVu Sans" w:hAnsi="DejaVu Sans" w:eastAsia="DejaVu Sans"/>
      <w:b/>
      <w:bCs/>
      <w:color w:val="0B7A7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DejaVu Sans" w:hAnsi="DejaVu Sans" w:eastAsia="DejaVu Sans"/>
      <w:b/>
      <w:bCs/>
      <w:color w:val="18324B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DejaVu Sans" w:hAnsi="DejaVu Sans" w:eastAsia="DejaVu Sans"/>
      <w:b/>
      <w:color w:val="18324B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/>
    </w:pPr>
    <w:rPr>
      <w:rFonts w:asciiTheme="majorHAnsi" w:eastAsiaTheme="majorEastAsia" w:hAnsiTheme="majorHAnsi" w:cstheme="majorBidi" w:ascii="DejaVu Sans" w:hAnsi="DejaVu Sans" w:eastAsia="DejaVu Sans"/>
      <w:b/>
      <w:i/>
      <w:iCs/>
      <w:color w:val="0B7A75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  <w:jc w:val="center"/>
    </w:pPr>
    <w:rPr>
      <w:rFonts w:ascii="DejaVu Sans" w:hAnsi="DejaVu Sans"/>
      <w:b/>
      <w:bCs/>
      <w:i/>
      <w:color w:val="667684"/>
      <w:sz w:val="16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KLT‑MATDES: Проективно‑реперная система обратного проектирования неорганических функциональных материалов</dc:title>
  <dc:subject>Проектно‑техническая спецификация системы обратного проектирования материалов</dc:subject>
  <dc:creator>Курпишев Иван Борисович</dc:creator>
  <cp:keywords>KLT-MATDES, KLT-RBD, materials design, ChemGraph, inverse design, ABSTAIN</cp:keywords>
  <dc:description>Версия 1.1. Научные и вычислительные статусы разделены; научные схемы встроены.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